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visas izmaksas, kas saistītas ar 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r w:rsidR="00000000" w:rsidRPr="00000000" w:rsidDel="00000000">
              <w:rPr>
                <w:rtl w:val="0"/>
              </w:rPr>
              <w:t xml:space="preserve">119. Elektroenerģijas ražotāji, kuriem pārvades sistēmas operators izsniedzis tehniskās prasības līdz šā likumā 9. panta 3.</w:t>
            </w:r>
            <w:r w:rsidR="00000000" w:rsidRPr="00000000" w:rsidDel="00000000">
              <w:rPr>
                <w:vertAlign w:val="superscript"/>
                <w:rtl w:val="0"/>
              </w:rPr>
              <w:t xml:space="preserve">1</w:t>
            </w:r>
            <w:r w:rsidR="00000000" w:rsidRPr="00000000" w:rsidDel="00000000">
              <w:rPr>
                <w:rtl w:val="0"/>
              </w:rPr>
              <w:t xml:space="preserve"> daļas spēkā stāšanās dienai, saņem  konstanto pārvades sistēmas pakalpojumu.</w:t>
            </w:r>
            <w:r w:rsidR="00000000" w:rsidRPr="00000000" w:rsidDel="00000000">
              <w:rPr>
                <w:rtl w:val="0"/>
              </w:rPr>
              <w:t xml:space="preserve">120.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2024. gada 15. oktobrī.</w:t>
            </w:r>
            <w:r w:rsidR="00000000" w:rsidRPr="00000000" w:rsidDel="00000000">
              <w:rPr>
                <w:rtl w:val="0"/>
              </w:rPr>
              <w:t xml:space="preserve">121. Šā likuma 9. panta 3.</w:t>
            </w:r>
            <w:r w:rsidR="00000000" w:rsidRPr="00000000" w:rsidDel="00000000">
              <w:rPr>
                <w:vertAlign w:val="superscript"/>
                <w:rtl w:val="0"/>
              </w:rPr>
              <w:t xml:space="preserve">5</w:t>
            </w:r>
            <w:r w:rsidR="00000000" w:rsidRPr="00000000" w:rsidDel="00000000">
              <w:rPr>
                <w:rtl w:val="0"/>
              </w:rPr>
              <w:t xml:space="preserve"> daļā minēto procedūru un 3.</w:t>
            </w:r>
            <w:r w:rsidR="00000000" w:rsidRPr="00000000" w:rsidDel="00000000">
              <w:rPr>
                <w:vertAlign w:val="superscript"/>
                <w:rtl w:val="0"/>
              </w:rPr>
              <w:t xml:space="preserve">6</w:t>
            </w:r>
            <w:r w:rsidR="00000000" w:rsidRPr="00000000" w:rsidDel="00000000">
              <w:rPr>
                <w:rtl w:val="0"/>
              </w:rPr>
              <w:t xml:space="preserve"> daļā minēto izsoles rīkošanas kārtību un nosacījumus pārvades sistēmas operators publicē savā tīmekļvietnē mēneša laikā no minēto tiesību normu spēkā stāšanās dienas.</w:t>
            </w:r>
            <w:r w:rsidR="00000000" w:rsidRPr="00000000" w:rsidDel="00000000">
              <w:rPr>
                <w:rtl w:val="0"/>
              </w:rPr>
              <w:t xml:space="preserve">122.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iesniedz regulatoram līdz 2025. gada 1. oktobrim.</w:t>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esoša pieslēguma ietvaros.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 rosina attiecināt vienlīdzīgus nosacījumus gan elektroenerģijas pārvades, gan elektroenerģijas sadales sistēmas ražotāju pieslēguma ierīkošanas procesiem, paredzot iespēju rezervētās sistēmas jaudas atbrīvot arī sadales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pārvades sistēmas operatoram </w:t>
            </w:r>
            <w:r w:rsidR="00000000" w:rsidRPr="00000000" w:rsidDel="00000000">
              <w:rPr>
                <w:b w:val="1"/>
                <w:rtl w:val="0"/>
              </w:rPr>
              <w:t xml:space="preserve">vai sadales sistēmas operatoram</w:t>
            </w:r>
            <w:r w:rsidR="00000000" w:rsidRPr="00000000" w:rsidDel="00000000">
              <w:rPr>
                <w:rtl w:val="0"/>
              </w:rPr>
              <w:t xml:space="preserve">, var prasīt tās atmaksu līdz 2024. gada 30. novembrim, ja ražotājs vēlas pārtraukt pieslēguma pie pārvades sistēmas ierīkošanu. Pārvades sistēmas operators </w:t>
            </w:r>
            <w:r w:rsidR="00000000" w:rsidRPr="00000000" w:rsidDel="00000000">
              <w:rPr>
                <w:b w:val="1"/>
                <w:rtl w:val="0"/>
              </w:rPr>
              <w:t xml:space="preserve">vai sadales sistēmas operators </w:t>
            </w:r>
            <w:r w:rsidR="00000000" w:rsidRPr="00000000" w:rsidDel="00000000">
              <w:rPr>
                <w:rtl w:val="0"/>
              </w:rPr>
              <w:t xml:space="preserve">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w:t>
            </w:r>
            <w:r w:rsidR="00000000" w:rsidRPr="00000000" w:rsidDel="00000000">
              <w:rPr>
                <w:b w:val="1"/>
                <w:rtl w:val="0"/>
              </w:rPr>
              <w:t xml:space="preserve">vai sadales sistēmas operatoram</w:t>
            </w:r>
            <w:r w:rsidR="00000000" w:rsidRPr="00000000" w:rsidDel="00000000">
              <w:rPr>
                <w:rtl w:val="0"/>
              </w:rPr>
              <w:t xml:space="preserve"> visas izmaksas, kas saistītas ar pieslēguma elektroenerģijas sistēmai ierīkošanu līdz brīdim, kad pieslēguma ierīkošana tika pārtraukta, par to noslēdzot atsevišķu vienošanos, un izveidotā pieslēguma daļa paliek pārvades sistēmas operatora </w:t>
            </w:r>
            <w:r w:rsidR="00000000" w:rsidRPr="00000000" w:rsidDel="00000000">
              <w:rPr>
                <w:b w:val="1"/>
                <w:rtl w:val="0"/>
              </w:rPr>
              <w:t xml:space="preserve">vai sadales sistēmas operatora</w:t>
            </w:r>
            <w:r w:rsidR="00000000" w:rsidRPr="00000000" w:rsidDel="00000000">
              <w:rPr>
                <w:rtl w:val="0"/>
              </w:rPr>
              <w:t xml:space="preserve"> īpašumā. Regulatora 2022. gada 14. aprīļa lēmuma Nr. 1/5 "Sistēmas pieslēguma noteikumi elektroenerģijas ražotājiem” 23. punktā noteiktais nav piemērojams uz šajā punktā minēto tehnisko prasību anulēšanas gadījumu.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Elektroenerģijas ražotājam sniedzamajam pārvades sistēmas pakalpojumam ir šādi veidi:</w:t>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normatīvajos aktos noteiktajos gadījumos;</w:t>
            </w:r>
            <w:r w:rsidR="00000000" w:rsidRPr="00000000" w:rsidDel="00000000">
              <w:rPr>
                <w:rtl w:val="0"/>
              </w:rPr>
              <w:t xml:space="preserve">2) elastīgais pārvades sistēmas pakalpojums – pārvades sistēmas pakalpojuma sniegšana elektroenerģijas ražotājam var tikt ierobežota 876 stundas viena kalendārā gada ietvaros, kuru laikā elektroenerģijas ražotājam piemēro šā likuma 14. panta otrajā daļā minēto maksu. Ierobežošanas laikā neietver gadījumus, kad  pārvades sistēmas pakalpojuma ierobežošana veikta normatīvajos aktos noteiktajos gadījumos. Kārtību, kādā tiek veikta pārvades sistēmas pakalpojuma ierobežošana, uzskaitīts ierobežošanas laiks, kā arī veikti elektroenerģijas ražotāja norēķini ar pārvades sistēmas operatoru par ierobežojuma īstenošanu, izstrādā pārvades sistēmas operators un apstiprina regulators.</w:t>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Ja elektroenerģijas ražotājam, kurš saņem elastīgo pārvades sistēmas pakalpojumu, pārvades sistēmas pakalpojuma ierobežošana pārsniedz šā panta 1.</w:t>
            </w:r>
            <w:r w:rsidR="00000000" w:rsidRPr="00000000" w:rsidDel="00000000">
              <w:rPr>
                <w:vertAlign w:val="superscript"/>
                <w:rtl w:val="0"/>
              </w:rPr>
              <w:t xml:space="preserve">1 </w:t>
            </w:r>
            <w:r w:rsidR="00000000" w:rsidRPr="00000000" w:rsidDel="00000000">
              <w:rPr>
                <w:rtl w:val="0"/>
              </w:rPr>
              <w:t xml:space="preserve">daļā noteikto stundu skaitu, pārsniegto stundu laikā ierobežošanu tiek veikta saskaņā ar normatīvajos aktos noteikto par pārdispičēšanu.".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17.panta otrā daļa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Pieeja sadales sistēmai paredz arī pārvades sistēmas pakalpojumu izmantošanu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kontekstā būtu nepieciešams skaidrojums, kādu pārvades sistēmas pakalpojumu saņems elektroenerģijas sadales sistēmai pieslēgtie elektroenerģijas ražotāji. Vai sadales sistēmai pieslēgts elektroenerģijas ražotājs varēs izmantot elastīgo pārvades sistēmas pakalpojumu. AS "Sadales tīkls" ieskatā likumprojektā būtu nepieciešams precizēt, ka attiecīgās daļas attiecas tikai uz pārvades sistēmai tieši pieslēgtiem ražotājiem, bet sadales sistēmas operatoriem pieslēgtajiem ražotājiem tiek nodrošināts tikai konstantais pārvades sistēmas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