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5.punktā ir noteikti pasākuma pirmās kārtas ietvaros sasniedzamie rādītāji, norādot, ka 80 procenti no pedagogu un atbalsta personāla un 75 procentu audzēkņi nodrošināti ar informācijas un komunikāciju tehnoloģisko (turpmāk – IKT) nodrošinājumu, kā arī no šo noteikumu projekta 15.2.apakšpunktā noteiktā izriet, ka sadarbības partnerim, t.i., pašvaldībai, ir pienākums nodrošināt noteikumos minēto atbalstu atbalstāmo darbību īstenošanai, proti, sniegt atbalstu IKT lietošanas instruktāžu, apmācību, uzskaites nodrošināšanai u.c. Ņemot vērā iepriekš minēto, vēršam uzmanību, ka IKT vienību skaita palielināšanas gadījumā vienlaikus risināms arī jautājums par IT atbalsta personāla trūkumu, proti, pašvaldības iespējām nodrošināt šādas jomas speciālistiem atalgojumu atbilstoši vidējam tirgus atalgojuma līmenim, lai tas būtu ne tikai konkurētspējīgs, bet sekmētu šī pasākuma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15.04.2024.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15.04.2024.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