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28.1.4. ārējo pakalpojumu izmaksas – juridiskie, grāmatvedības, testēšanas un izstrādes, projektu vadības, lietvedības un tulkošanas pakalpojumi, kurus sadarbības tīkls iepērk no trešajām personām, ja attiecīgie pakalpojumi tiek izmantoti sadarbības tīkla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vadības un personāla izmaksas, piesaistot projekta vadības personālu uz darba vai uzņēmuma līguma ir paredzēts noteikumu projekta  28.1.1. apakšpunktā, lūdzam skaidrot kāda projekta vadība ir domāta zem ārējo pakalpojumu izmaksas, jo uzņēmuma līgums jau paredz projekta vadību noteikumu projekta 28.1.1. apakšpunktā kā ārpakalpojumu.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izmaksas, kas saistītas ar dalību starptautiskajās izstādēs: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Ekonomikas ministriju (turpmāk - EM) nodrošinot demarkāciju ar 1.2.3.1. pasākuma ietvaros paredzēto atbalstu individuālu komersantu dalībai starptautiskajās izstādēs, tāpat arī iespēju biedrībām pieteikties un saņemt atbalstu starptautisko izstāžu atbalstam, izslēgt no noteikumu projekta attiecināmajām izmaksām individuālu sadarbības tīkla dalībnieku dalību starptautiskajās izstādēs. To pamato arī pasākuma koncepts un  EM izziņas 21.punktā ietverts skaidrojums, ka sadarbības tīkls var īstenot aktivitātes iesaistot tajās visus sadarbības tīkla dalībniekus, v</w:t>
            </w:r>
            <w:r w:rsidR="00000000" w:rsidRPr="00000000" w:rsidDel="00000000">
              <w:rPr>
                <w:u w:val="single"/>
                <w:rtl w:val="0"/>
              </w:rPr>
              <w:t xml:space="preserve">ai plānot aktivitātes, </w:t>
            </w:r>
            <w:r w:rsidR="00000000" w:rsidRPr="00000000" w:rsidDel="00000000">
              <w:rPr>
                <w:rtl w:val="0"/>
              </w:rPr>
              <w:t xml:space="preserve">kas nepieciešamas</w:t>
            </w:r>
            <w:r w:rsidR="00000000" w:rsidRPr="00000000" w:rsidDel="00000000">
              <w:rPr>
                <w:u w:val="single"/>
                <w:rtl w:val="0"/>
              </w:rPr>
              <w:t xml:space="preserve"> konkrētam sadarbības tīkla dalībnieku lokam</w:t>
            </w:r>
            <w:r w:rsidR="00000000" w:rsidRPr="00000000" w:rsidDel="00000000">
              <w:rPr>
                <w:rtl w:val="0"/>
              </w:rPr>
              <w:t xml:space="preserve">, ņemot vērā nozares specifiku un dažādās vajadzības.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izteikt šo noteikumu projekta 28.2.2.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"28.2.2. sadarbības tīkla dalība starptautiskajās izstādēs";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Vienkāršoto izmaksu vienotā izmaksu likme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ir 20 procentu no pārējām tiešajām attiecināmajām izmaksām, neieskaitot personāla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vienotās likmes aprēķins vēl ir saskaņošanā ar Vadošo iestādi, nevaram saskaņot vienotās likmes apmēru un tā iekļaušanu noteikumu projektā. Vēršu uzmanību, ka ne visas  noteikumu projekta 28.1.4. apakšpunktā minētās izmaksas ir uzskatāmas par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ne visas noteikumu projekta 28.1.4. apakšpunktā minētas izmaksas ir uzskatāmas par personāla izmaksām, attiecīgi šīm izmaksām nepiemēro netiešo izmaksu vienoto likmi 15%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39.15. RIS3 rādītājus katrā no RIS3 jomām, par kuriem saņemts atbalsts šī pasākuma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noteikumu projekta 28.1. apakšpunkta ietvaros ietverto sadarbības tīkla attiecināmo izmaksu  un noteikumu projekta 28.2.apakšpunkta ietvaros uzskaitīto sadarbības tīkla dalībnieku attiecināmo izmaksu tvērumu, vēršam EM uzmanību uz to, ka RIS3 rādītāji būtu uzkrājami tikai attiecībā par tādu </w:t>
            </w:r>
            <w:r w:rsidR="00000000" w:rsidRPr="00000000" w:rsidDel="00000000">
              <w:rPr>
                <w:u w:val="single"/>
                <w:rtl w:val="0"/>
              </w:rPr>
              <w:t xml:space="preserve">pasākuma atbalsta sadaļu</w:t>
            </w:r>
            <w:r w:rsidR="00000000" w:rsidRPr="00000000" w:rsidDel="00000000">
              <w:rPr>
                <w:rtl w:val="0"/>
              </w:rPr>
              <w:t xml:space="preserve">, kur atbalsts ir/var būt saistīts ar P&amp;A izdevumiem, nevis par katra sadarbības tīkla aktivitātēm, kas tiek veiktas ārpus šī pasākuma atbalta tvēruma. Līdz ar to lūdzam EM atkārtoti izvērtēt, vai pasākuma ietvaros ir uzkrājami dati par RIS3 rādītājiem; ja jā, tad, lai mazinātu finansējuma saņēmējam iespējamo administratīvo slogu lūdzam apakšpunktā iekļaut konkrētu atsauci uz tām atbalstāmajām darbībām attiecībā uz kurām RIS3 rādītāji būtu uzkrājami, kā arī šādu informāciju lūdzam iekļaut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vienotās likmes apmērs nav saskaņots ar vadošo iestādi, nevaram šobrīd atbalstīt anotācijā iekļautos skaidrojumus par vienoto likmi: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likme personāla izmaksām ir saskaņota ar vadošo iestādi, nosūtot veikto aprēķinu un pamatojumu konkrētās vienotās likmes piemērošanai. Papildus, atbildīgā iestāde noteikumu projekta izstrādes laikā ir informējusi sadarbības tīklus par likmes piemērošanas nosacījumiem, kā arī likmes apmērs ir noteikts noteikumu projekta 29. punktā. Balstoties uz iepriekšējā Eiropas Savienības fondu perioda datiem, ir veikti attiecīgie aprēķini vienotās likmes izmantošanai, attiecīgi vienotās likmes aprēķins sadarbības tīkla personāla izmaksām ir taisnīgs, objektīvs, pārbaudāms un iepriekš noteikts."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1.3.apakšpunktu ar informāciju, ka ar noteikumu projektu tiek noteikts arī plānotais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un pieejamo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Morgana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sadarbības tīkls – finansējuma saņēmējs, kas ir biedrība vai nodibinājums, kas apvieno sadarbības tīkla dalībniekus, kuras darbojas savstarpēji saistītās nozarēs, tautsaimniecības nišās, produkta vai pakalpojuma grupās, vērtības ķēdēs vai reģionā, specializējoties vienā vai vairākās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minētajām Viedās specializācijas stratēģijas (RIS3) jomām;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 dzēsta prasība projekta iesniedzējam (biedrībai vai nodibinājumam) specializēties RIS3 jomā (iepriekš notiekumu projekta 18.2. apakšpunkts), lūdzam no noteikumu projekta 2.3. apakšpunkta dzēst vārdus "specializējoties vienā vai vairākās no šo noteikumu 23. punktā minētajām Viedās specializācijas stratēģijas (RIS3) jomām".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Pasākuma ietvaros līdz 2029. gada 31. decembrim sasniedzami šādi rādītāji: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EM ņemt vērā, ka saskaņā ar Eiropas Komisijas saņemtajiem komentāriem uz Eiropas Savienības kohēzijas politikas programmas 2021.–2027.gadam grozījumiem, vidussposma rādītāju dzēšana nav atbalstāma.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un pamatotību prasībai pie projekta iesnieguma pievienot sadarbības tīkla dalībnieku MVK deklarācijas, jo MVK deklarācijas iesniegšana un kategorijas noteikšana sadarbības tīkla dalībniekiem ir svarīga uz atbalsta piešķiršanas brīdi, jo atbilstoši MKN 37.punktam atkarībā no uzņēmuma lieluma ir atkarīga atbalsta intensitāte.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Cintija Ripa (CFLA) (Līga Grantiņa (CFLA)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21.4. sadarbības tīkla dalībnieku, izņemot pētniecības un zināšanu izplatīšanas orgnizācijas, sīkā (mikro), mazā, vidējā komersanta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kas šo noteikumu projekta izpratnē  ir saprotams ar komersantu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21.5.4. pārstāvētā nozare atbilstoši NACE 2. redakcijai, ja attiecināms, norādot visus saimnieciskās darbības kodus;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komersantu saimnieciskās pamatdarbības kods ir publiski pieejama informācija, aicinām atteikties no prasības projekta iesniedzējam to papildus norādīt.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21.5.5. pēdējo triju līdz projekta iesnieguma iesniegšanai noslēgto pārskata gadu apgrozījums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komersantu apgrozījums ir publiski pieejama informācija, aicinām atteikties no prasības projekta iesniedzējam to iesniegt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21.5.6. pēdējo triju līdz projekta iesnieguma iesniegšanai noslēgto finanšu gadu eksporta apjoms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komersantu eksportu apmēru tiek iegūta no datu bāzēm, aicinām atteikties no prasības projekta iesniedzējam to iesniegt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21.5.7. pēdējo triju līdz projekta iesnieguma iesniegšanai noslēgto finanšu gadu ieguldījums pētniecībā un attīstībā (</w:t>
            </w:r>
            <w:r w:rsidR="00000000" w:rsidRPr="00000000" w:rsidDel="00000000">
              <w:rPr>
                <w:i w:val="1"/>
                <w:rtl w:val="0"/>
              </w:rPr>
              <w:t xml:space="preserve">euro</w:t>
            </w:r>
            <w:r w:rsidR="00000000" w:rsidRPr="00000000" w:rsidDel="00000000">
              <w:rPr>
                <w:rtl w:val="0"/>
              </w:rPr>
              <w:t xml:space="preserve">) pa gadiem, izņemot pētniecības un zināšanu izplatīšanas organizācijas un valsts kapitālsabiedrības.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iesniedzējam nav izvirzīta prasība nodrošināt noteikta apmēra ieguldījumus pētniecībā un attīstībā, aicinām izvērtēt iespēju atteikties no prasības projekta iesniedzējiem iesniegt šādus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 projekta vadības un personāla izmaksas, piesaistot projekta vadības personālu uz darba vai uzņēmuma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26.1. apakšpunkts paredz darbības, kas saistītas ar projekta vadības un īstenošanas nodrošināšanu, lūdzam izvērtēt vai te nav domāts projekta vadības un projekta īstenošanas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ietvaros ir attiecināmas netiešās projekta īstenošanas izmaksas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veikšanai. Netiešās attiecināmās izmaksas sadarbības tīkls plāno kā vienu izmaksu pozīciju, piemērojot netiešo izmaksu vienoto likmi 15 % apmērā no šo noteikumu </w:t>
            </w:r>
            <w:r w:rsidR="00000000" w:rsidRPr="00000000" w:rsidDel="00000000">
              <w:rPr>
                <w:rtl w:val="0"/>
              </w:rPr>
              <w:t xml:space="preserve">28.1.1.</w:t>
            </w:r>
            <w:r w:rsidR="00000000" w:rsidRPr="00000000" w:rsidDel="00000000">
              <w:rPr>
                <w:rtl w:val="0"/>
              </w:rPr>
              <w:t xml:space="preserve"> un </w:t>
            </w:r>
            <w:r w:rsidR="00000000" w:rsidRPr="00000000" w:rsidDel="00000000">
              <w:rPr>
                <w:rtl w:val="0"/>
              </w:rPr>
              <w:t xml:space="preserve">28.1.4.</w:t>
            </w:r>
            <w:r w:rsidR="00000000" w:rsidRPr="00000000" w:rsidDel="00000000">
              <w:rPr>
                <w:rtl w:val="0"/>
              </w:rPr>
              <w:t xml:space="preserve"> apakšpunktā minētajām tiešajām attiecināmajām personāla izmaksām, kas attiecināmas uz šo noteikumu </w:t>
            </w:r>
            <w:r w:rsidR="00000000" w:rsidRPr="00000000" w:rsidDel="00000000">
              <w:rPr>
                <w:rtl w:val="0"/>
              </w:rPr>
              <w:t xml:space="preserve">26.1. </w:t>
            </w:r>
            <w:r w:rsidR="00000000" w:rsidRPr="00000000" w:rsidDel="00000000">
              <w:rPr>
                <w:rtl w:val="0"/>
              </w:rPr>
              <w:t xml:space="preserve">apakšpunktā</w:t>
            </w:r>
            <w:r w:rsidR="00000000" w:rsidRPr="00000000" w:rsidDel="00000000">
              <w:rPr>
                <w:rtl w:val="0"/>
              </w:rPr>
              <w:t xml:space="preserve"> minētās darbības īstenošanu, saskaņā ar regulas 2021/1060 54. panta pirmās daļas "b"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 punkta redakciju - šobrīd punkts iekļauj atsauci uz "29. punktā minēto darbību veikšanai", taču 29. punktā nav norādītas darbības, tā vietā atsaucei būtu jābūt uz 26. punktā minētajām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punktu izteikt šādā (vai līdzīgā) redakcijā: "30. Šo noteikumu ietvaros ir attiecināmas netiešās projekta īstenošanas izmaksas šo noteikumu 26. punktā minēto darbību veikšanai. Netiešās attiecināmās izmaksas sadarbības tīkls plāno kā vienu izmaksu pozīciju, piemērojot netiešo izmaksu vienoto likmi 15 % apmērā no šo noteikumu 28.1.1. un 28.1.4. apakšpunktā minētajām tiešajām attiecināmajām personāla izmaksām, kas saskaņā ar 29. punktā minēto, attiecināmas kā vienkāršoto izmaksu vienotā izmaksu likme un paredzētas šo noteikumu 26.1. apakšpunktā minētās darbības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Maksimāli pieļaujamā sadarbības tīkla dalībnieku finansējuma intensitāte ir šāda: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interpretācijas iespējām, lūdzam papildināt punktu šādā redakcijā: “Maksimāli pieļaujamā sadarbības tīkla dalībnieku kopējā ERAF un valsts budžeta finansējuma intensitāte ir šāda:"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Sadarbības tīkls un sadarbības tīkla dalībnieki nodrošina komunikācijas un vizuālās identitātes pasākumus saskaņā ar regulas 2021/1060 47. un 50. pantu un normatīvo aktu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saņēmējs nodrošina komunikācijas un vizuālās identitātes pasākumus gan saskaņā ar noteikumu projekta 49. punktā minētajiem normatīvajiem aktiem, gan </w:t>
            </w:r>
            <w:r w:rsidR="00000000" w:rsidRPr="00000000" w:rsidDel="00000000">
              <w:rPr>
                <w:u w:val="single"/>
                <w:rtl w:val="0"/>
              </w:rPr>
              <w:t xml:space="preserve">ievēro Eiropas Savienības fondu 2021.–2027. gada plānošanas perioda un Atveseļošanas fonda komunikācijas un dizaina vadlīnijas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Ja sadarbības tīkls vai sadarbības tīkla dalībnieks vienlaikus darbojas vienā vai vairākās nozarēs, kas minētas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drīkst piešķirt tikai tad, ja tas nodrošina šo nozaru darbību vai uzskaites nodalīšanu, nodrošinot, ka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2023. gada 13. decembra  Regulas (ES) 2023/2831 par Līguma par Eiropas Savienības darbību 107. un 108. panta piemērošanu de minimis atbalstam 1.panta 1.punktā ir minētas izslēgtās nozares un darbības, kurām de minimis atbalsts nav piešķirams, un šo noteikumu projekta 58.punkts jau ietver prasību nodrošināt uzskaites nošķiršanu, kā to paredz de minimis regulējums, lūdzam ievērot to, ka noteikumu projekta 59.punkts daļēji dublē noteikumu projekta 58.punktā ietverto, jo atsauces uz visu noteikumu projekta 57.punktu, nevis tikai 57.2 - 57.7, kā arī lūdzam 59.punktu precizēt tā, lai 59.punkta norma par atbalsta nodalīšanu attiektos tikai uz 57.2 - 57.7.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izziņā norādīto nolūks, nosakot, ka vismaz 30 sadarbības tīkla dalībniekiem ir jābūt savstarpēji nesaistītiem, ir nodrošināt atbalstu iespējami plašākam komersantu lokam. Tādējādi secināms, ka būtiskākais ir, lai savstarpēji nesaistīti komersanti veidotu nepieciešamo dalībnieku skaitu, savukārt attiecībā uz eksporta un apgrozījuma apjomu būtu pieņemams, ka tajā tiek ierēķināts arī savstarpēji saistītu uzņēmumu dati, kā tas šobrīd ir paredzēts arī Uzraudzības komitejas rakstiskajā procedūrā virzītajos projektu iesniegumu vērtēšanas kritērijos.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lūdzam anotācijas 1.3. sadaļā "Pašreizējā situācija, problēmas un risinājumi" norādīto rindkopu "Projekta iesniedzēja atbilstības nosacījumos un projekta iesniegumu vērtēšanas kritērijos tiek skatīti tikai savstarpēji nesaistītu sīko (mikro), mazo, vidējo un lielo komersantu rādītāji. Atbalsta sniegšana savstarpēji nesaistītiem komersantiem, nodrošina atbalsta pieejamību plašākam komersantu lokam un mazina gadījumus, kad atbalsts tiek sniegts mazam komersantu skaitam caur dažādām juridiskajām formām." izteikt zemāk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(CFLA komentārs, Ilze Kvartenoka)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sniegšana savstarpēji nesaistītiem komersantiem, nodrošina atbalsta pieejamību plašākam komersantu lokam un mazina gadījumus, kad atbalsts tiek sniegts mazam komersantu skaitam caur dažādām juridiskajām formām. Nosakot projekta iesniedzēja atbilstību nepieciešamajam sadarbības tīkla dalībnieku skaitam, vērtējums tiek balstīts uz projekta iesniegumam pievienotajās sadarbības tīkla dalībnieku deklarācijās par komercsabiedrības atbilstību mazajai (sīkajai) vai vidējai komercsabiedrībai norādīto, tādējādi veicinot "Valdības rīcības plānā Deklarācijas par Evikas Siliņas vadītā Ministru kabineta iecerēto darbību īstenošanai" (23-TA-2869) 35.4.pasākumā plānoto pašdeklarēšanās principa paplašināšanu un administratīvā sloga mazināšanas nolūkos neveicot pārbaudes pret datu bāzēm.Nosakot projekta iesniedzēja - sadarbības tīkla - dalībnieku apgrozījuma un eksporta rādītāju, vērā tiek ņemti visu sīko (mikro), mazo, vidējo un lielo komersantu dati neatkarīgi no to savstarpējās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sniegt pamatojumu valsts budžeta līdzfinansējuma plānošanai, ņemot vērā, ka pasākuma ietvaros projekta iesniedzējs ir sadarbības tīkls (biedrība vai nodibinājums, kas apvieno sadarbības tīkla dalībniekus), kas nav valsts budžeta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"ne vēlāk kā 2 mēnešus" no šīs teksta daļas: Lai pasākuma īstenošanā izvairītos no dubultā finansējuma situāciju ar Latvijas Investīciju un attīstības aģentūras (turpmāk – LIAA) organizētajām dalībām izstādēs, sadarbības tīklam ir pienākums par izmaksām, kas saistītas ar dalību starptautiskajās izstādēs ārvalstīs, ne vēlāk kā 2 mēnešus pirms izstādes sākuma dienas, rakstiski informē LIAA, sniedzot informāciju par plānotajām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rādītāju pasē norādītajam, rezultāta rādītājs - publisko atbalstu papildinošās privātās investīcijas (tai skaitā: granti, finanšu instrumenti) - 1 038 750 euro, aptver arī neattiecināmo projekta izmaksu daļu,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KPVIS neuzrādās neattiecināmie izdevumi un PVN, kuru var atgūt, lūdzam precizēt anotācijā norādīto, jo šī izdevumu daļa netiks uzrādīta KPVIS norādītajā informācijā pie noslēguma maksājuma pieprasījuma apstiprināšanas. Papildus atkārtoti lūdzam norādīt, kāds dokuments uzskatāms kā pierādījums, kas pamatos noteikto rādītāju sasniegšanu, kas saistīts ar neattiecināmo projekta izmaksu daļu, ieskaitot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finansējuma sadalījumu pa gadiem, jo šobrīd kopsumma neveido kopējo plānoto finansējuma apmēru 9 779 778 euro apmērā, kā arī punktā “Cita informācija” norādīt ministriju, kas pasākuma īstenošanai pieprasīs finansējuma pārdali no 74.resora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 (Anželika Osipova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17.35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03.07.2024. 17.35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