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ir iepazinusies ar Zemkopības ministrijas izstrādātajiem grozījumiem Valsts un Eiropas Savienības atbalsta piešķiršanas kārtība atklātu projektu konkursa veidā Eiropas lauksaimniecības fonda lauku attīstībai investīcijām materiālajos aktīvos 2023.–2027. gada plānošanas periodā (23-TA-1439).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neatbalsta Zemkopības ministrijas izstrādātos grozījumus, ņemot vērā ISIP likmes samazināšanu, aicinām Zemkopības ministriju lauksaimniekiem paredzētā investīciju pasākuma  finansējumu novirzīt ISIP likmes un 1.ekoshēmas palielināšanai, tādejādi mēģināt palielināt platību maksājumu likmi vismaz līdz 2022. gada līmenim. Izdalot investīcijām paredzēto finansējumu pa gadiem un ha, ir iespējams iegūt papildus likmi ap 21,8eiro/ha. Tādejādi, atbalstu piešķirot visiem lauksaimniekiem, nevis rīkojot “izlozi” attiecībā uz investīciju atbalsta saņemšanas iespējām, kur atbalstu saņem tikai daļa lauksaimnieku. Arī esošais noteikumu projekts nav vērsts un nozaru vienlīdzīgām iespējām pretendēt uz ES finansējumu dažādu nosprausto mērķu sasniegšanai. Tāpat, ņemot vērā finansiālo situāciju nozarē, skeptiski vērtējam vairuma lauksaimnieku iespējas 2024. un 2025.gadā veikt investīcijas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atbalstām arī pārstrādei paredzētā finansējuma piešķiršanas esošajā piedāvājumā, kas nav vērsta uz vietējas izejvielas izmantošanu, uzsvaru uz pievienotās vērtības radīšanu un saražotās produkcijas eksporta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23.46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23.46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