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Lielu uzņēmumu grupu globāla minimālā nodokļa līmeņa nodrošināšanas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izbeidzot vai likvidējot vienību, visi tās aktīvi jāsadala vai jāatgriež citai bezpeļņas organizācijai vai valstij vai valdībai, tostarp jebkurai valsts vai valdības struktūrvienībai, vienības rezidences jurisdikcijā, vai jebkurai tās politiski administratīvai vienībai;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izvērstu aprakstu par likumprojekta 1. panta 5. punktā noteikto likvidāciju, kā arī ietvert anotācijā terminu "valdība", "valdības struktūrvienība", "politiski administratīva vienība"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"Uzņēmumu grupu minimālā nodokļa nodrošināšanas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20. punktā ietverto iebildumu, lūdzam papildināt Ministru kabineta sēdes protokollēmuma projektu ar uzdevumu atbildīgajai ministrijai sagatavot un ministram noteiktā termiņā iesniegt Ministru kabinetā likumprojektu, ar kuru pilnībā tiek pārņemtas attiecīgās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07.01.2024.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07.01.2024.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Atzinumi_23-TA-2400.docx</dc:title>
</cp:coreProperties>
</file>

<file path=docProps/custom.xml><?xml version="1.0" encoding="utf-8"?>
<Properties xmlns="http://schemas.openxmlformats.org/officeDocument/2006/custom-properties" xmlns:vt="http://schemas.openxmlformats.org/officeDocument/2006/docPropsVTypes"/>
</file>