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2020. gada 18. jūnija Regulas (ES) 2020/852  par regulējuma izveidi ilgtspējīgu ieguldījumu veicināšanai un ar ko groza Regulu (ES) 2019/2088 un Komisijas Deleģētās 2021. gada 4. jūnija Regulas (ES) 2021/2139,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 </w:t>
            </w:r>
            <w:r w:rsidR="00000000" w:rsidRPr="00000000" w:rsidDel="00000000">
              <w:rPr>
                <w:u w:val="single"/>
                <w:rtl w:val="0"/>
              </w:rPr>
              <w:t xml:space="preserve">plašo tvērumu un tēmas specifiku, lūdzam Finanšu ministriju vai Vides aizsardzības un reģionālās attīstības ministriju, kas ir atbildīgā nozares ministrija par klimata politiku, uzņemties virsvadību ziņojuma pielikuma 2.12. punktā minētā izvērtējuma sagatavošanā, iesaistot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sociālā aprūpe ir Labklājības ministrijas kompetencē, lūdzu informatīvā ziņojuma pielikuma 2.12. punktu papildināt ar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pielikumu ar detalizētu informāciju, kādi aspekti izvērtējumā attiecībā uz veselības aprūpi ir jāiekļauj, vienlaikus sniedzot praktisku piemēru ārstniecības iestādes izvērtējumam atbilstoši tehniskās pārbaudes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23.11.2022.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23.11.2022.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