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24-TA-3291: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tiesu varu"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pants. 14. pantā: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to, ka likumprojekts skar likumu "Par interešu konflikta novēršanu valsts amatpersonu darbībā”, lūdzam likumprojektu saskaņot arī ar Korupcijas novēršanas un apkarošanas biroju.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Stone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pants. Papildināt ar 28.</w:t>
            </w:r>
            <w:r w:rsidR="00000000" w:rsidRPr="00000000" w:rsidDel="00000000">
              <w:rPr>
                <w:sz w:val="20"/>
                <w:vertAlign w:val="superscript"/>
                <w:rtl w:val="0"/>
              </w:rPr>
              <w:t xml:space="preserve">8</w:t>
            </w:r>
            <w:r w:rsidR="00000000" w:rsidRPr="00000000" w:rsidDel="00000000">
              <w:rPr>
                <w:rtl w:val="0"/>
              </w:rPr>
              <w:t xml:space="preserve">pantu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"28.</w:t>
            </w:r>
            <w:r w:rsidR="00000000" w:rsidRPr="00000000" w:rsidDel="00000000">
              <w:rPr>
                <w:vertAlign w:val="superscript"/>
                <w:rtl w:val="0"/>
              </w:rPr>
              <w:t xml:space="preserve">8</w:t>
            </w:r>
            <w:r w:rsidR="00000000" w:rsidRPr="00000000" w:rsidDel="00000000">
              <w:rPr>
                <w:rtl w:val="0"/>
              </w:rPr>
              <w:t xml:space="preserve">pants. Judikatūras nolēmumu arhīvs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Augstākā tiesa savā mājaslapā uztur judikatūras nolēmumu arhīvu. Judikatūras nolēmumu arhīvā publicējamās informācijas atlases un apstrādes kārtību nosaka Augstākās tiesas priekšsēdētājs.".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aizstāt vārdu "mājaslapā" ar vārdu "tīmekļvietnē".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Stone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24-TA-3291</w:t>
    </w:r>
    <w:r>
      <w:br/>
    </w:r>
    <w:r w:rsidR="00000000" w:rsidRPr="00000000" w:rsidDel="00000000">
      <w:rPr>
        <w:rtl w:val="0"/>
      </w:rPr>
      <w:t xml:space="preserve">Izdrukāts 19.05.2026. 14.49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24-TA-3291</w:t>
    </w:r>
    <w:r>
      <w:br/>
    </w:r>
    <w:r w:rsidR="00000000" w:rsidRPr="00000000" w:rsidDel="00000000">
      <w:rPr>
        <w:rtl w:val="0"/>
      </w:rPr>
      <w:t xml:space="preserve">Izdrukāts 19.05.2026. 14.49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