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finansējuma saņēmēja projekta vadības personāla atlīdzības izmaksas (izņemot virsstundas) atbilstoši </w:t>
            </w:r>
            <w:r w:rsidR="00000000" w:rsidRPr="00000000" w:rsidDel="00000000">
              <w:rPr>
                <w:rtl w:val="0"/>
              </w:rPr>
              <w:t xml:space="preserve">Valsts un pašvaldību institūciju amatpersonu un darbinieku atlīdzības likumam</w:t>
            </w:r>
            <w:r w:rsidR="00000000" w:rsidRPr="00000000" w:rsidDel="00000000">
              <w:rPr>
                <w:rtl w:val="0"/>
              </w:rPr>
              <w:t xml:space="preserve">, t.sk. nepieciešamības gadījumā uz projekta īstenošanas laiku piesaistot jaunus darbiniekus un iesaistot esošo personālu;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18.1.1. un 18.1.2.punktos minētās atlīdzības izmaksas ir paredzēts aprēķināt kā vienoto izmaksu likmi, ierosinām apvienot 18.1.1. un 18.1.2. punktus vienā punktā un attiecīgi papildināt, ka tās ir aprēķināmas kā vienotās likmes izmaksas. Bez tam lūdzam papildināt anotāciju ar detalizētāku skaidrojumu par projekta vadības un īstenošanas personālu, kas tiks segts no vienotās likmes, jo, piemēram, eksperti minēti gan pie īstenošanas personāla 18.1.2. apakšpunktā, gan pie pārējām projekta īstenošanas izmaksām (18.4.1. un 18.5. apakšpunktā), tāpat arī konsultanti – gan 18.1.2., gan 18.4.1. apakšpunktā. Šīm izmaksām jābūt skaidri nodalītām, lai nepieļautu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finansējuma saņēmēja projekta vadības un īstenošanas personāla veselības apdrošināšanas izmaksas un redzes korekcijas līdzekļu kompensācijas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MK noteikumu projekta 18.1.3.apakšpunktu, ņemot vērā, ka minētās izmaksas ietilpst MK noteikumu projekta 18.1.1.un 18.1.2.apakšpunktos minētajās atlīdzības izmaksās, kas detalizētāk norādītas vadošās iestādes vadlīniju Nr. 1.2. "Vadlīnijas attiecināmo izmaksu noteikšanai Eiropas Savienības kohēzijas politikas programmas 2021. - 2027.gada plānošanas periodā" 7.15.apakšpunktā, nacionālajā normatīvajā regulējumā, kā arī šī MK noteikumu projekta anotācijā un tās ir iekļautas vienotās personāla atlīdzības likmes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18.4.2. izmaksas mērķa grupas stažēšanās pasākumu nodrošināšanai uzņēmumos un organizācijās Latvijā vai citās Eiropas Savienības dalībvalstīs (komandējuma izdevumi, apdrošināšanas izmaksas, dalības maksa pieredzes apmaiņas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projekta 18.4.2.apakšpunktā piemērot vadošās iestādes izstrādātās horizontālo vienkāršoto izmaksu metodiku gadījumos, kad mērķa grupai komandējuma izdevumi rodas Latvijā, lai nodrošinātu vienotu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MK sēdes protokollēmuma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                                                                                                                                                      2.Valsts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22-TA-2965</w:t>
    </w:r>
    <w:r>
      <w:br/>
    </w:r>
    <w:r w:rsidR="00000000" w:rsidRPr="00000000" w:rsidDel="00000000">
      <w:rPr>
        <w:rtl w:val="0"/>
      </w:rPr>
      <w:t xml:space="preserve">Izdrukāts 11.01.2023.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22-TA-2965</w:t>
    </w:r>
    <w:r>
      <w:br/>
    </w:r>
    <w:r w:rsidR="00000000" w:rsidRPr="00000000" w:rsidDel="00000000">
      <w:rPr>
        <w:rtl w:val="0"/>
      </w:rPr>
      <w:t xml:space="preserve">Izdrukāts 11.01.2023.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Atzinumi_22-TA-2965.docx</dc:title>
</cp:coreProperties>
</file>

<file path=docProps/custom.xml><?xml version="1.0" encoding="utf-8"?>
<Properties xmlns="http://schemas.openxmlformats.org/officeDocument/2006/custom-properties" xmlns:vt="http://schemas.openxmlformats.org/officeDocument/2006/docPropsVTypes"/>
</file>