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jūras transporta dalību Eiropas Savienības emisijas kvotu tirdzniecības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Ministru kabineta noteikumu projektā "Noteikumi par jūras transporta dalību Eiropas Savienības emisijas kvotu tirdzniecības sistēmā" (turpmāk - projekts) ir pārņemtas </w:t>
            </w:r>
            <w:r w:rsidR="00000000" w:rsidRPr="00000000" w:rsidDel="00000000">
              <w:rPr>
                <w:i w:val="1"/>
                <w:rtl w:val="0"/>
              </w:rPr>
              <w:t xml:space="preserve">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r w:rsidR="00000000" w:rsidRPr="00000000" w:rsidDel="00000000">
              <w:rPr>
                <w:rtl w:val="0"/>
              </w:rPr>
              <w:t xml:space="preserve"> (turpmāk – Direktīva 2023/959) prasības. Attiecīgi lūdzam papildināt projektu ar informatīvo atsauci uz Direktīvu 2023/959 atbilstoši Ministru kabineta 2009. gada 3. februāra noteikumu Nr.108 "Normatīvo aktu projektu sagatavošanas noteikumi" (turpmāk - Noteikumi Nr. 108) 162.-168.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anotācijas 5.4. apakšsadaļas 1. tabulu ar informāciju par Direktīvas 2023/959 3. pantā ietvertās prasības ("</w:t>
            </w:r>
            <w:r w:rsidR="00000000" w:rsidRPr="00000000" w:rsidDel="00000000">
              <w:rPr>
                <w:i w:val="1"/>
                <w:rtl w:val="0"/>
              </w:rPr>
              <w:t xml:space="preserve">Pieņemot minētos pasākumus, dalībvalstis tajos ietver atsauci uz šo direktīvu vai arī šādu atsauci pievieno to oficiālajai publikācijai.</w:t>
            </w:r>
            <w:r w:rsidR="00000000" w:rsidRPr="00000000" w:rsidDel="00000000">
              <w:rPr>
                <w:rtl w:val="0"/>
              </w:rPr>
              <w:t xml:space="preserve">")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Klimata likuma 17. panta piekto daļu un 18.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tiesiskais pamatojums norādīts Klimata likuma 17. panta piektā daļa un 18. panta ceturtā daļa. Norādām, ka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noteikumu projektus, kuru pilnvarojums paredzēts likumprojektā, izskata Valsts sekretāru sanāksmē, kad likumprojekts pieņemts 2. lasījumā, savukārt Ministru kabinetā šādus noteikumu projektus izskata, kad likumprojekts pieņemts 3. lasījumā. Atzinuma sniegšanas laikā likumprojekts "Klimata likums" (Nr. 718/Lp14) (turpmāk - likumprojekts) nav pat apstiprināts 1. lasījumā Saeimā. Vēršam uzmanību uz to, ka projekta virzīšana pirms likumprojekta izskatīšanas uzsākšanas Saeimā ir neefektīva, ņemot vērā to, ka likumprojekta izskatīšanas Saeimā laikā likumprojektā var tikt veiktas būtiskas izmaiņas, kas ietekmēs arī projekta tekstu. Ievērojot minēto, lūdzam nodrošināt projekta turpmāku virzību pēc likumprojekta pieņemšanas Saeimā 2. 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108 100. punkts noteic, ka noteikumu projekta pirmajā punktā secīgi raksta vārdus "noteikumi nosaka" un likumā noteikto pilnvarojumu Ministru kabinetam. Ievērojot minēto, lūdzam precizēt projekta 1. punktu, precīzi </w:t>
            </w:r>
            <w:r w:rsidR="00000000" w:rsidRPr="00000000" w:rsidDel="00000000">
              <w:rPr>
                <w:u w:val="single"/>
                <w:rtl w:val="0"/>
              </w:rPr>
              <w:t xml:space="preserve">pārrakstot</w:t>
            </w:r>
            <w:r w:rsidR="00000000" w:rsidRPr="00000000" w:rsidDel="00000000">
              <w:rPr>
                <w:rtl w:val="0"/>
              </w:rPr>
              <w:t xml:space="preserve"> Ministru kabinetam likumprojektā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pašreiz konstatējamas būtiskas neatbilstības starp likumprojektā paredzēto pilnvarojumu un projekta 1. punktu, kā arī projektā ietverto regulējumu. </w:t>
            </w:r>
            <w:r w:rsidR="00000000" w:rsidRPr="00000000" w:rsidDel="00000000">
              <w:rPr>
                <w:rtl w:val="0"/>
              </w:rPr>
              <w:t xml:space="preserve">Piemēram:</w:t>
            </w:r>
            <w:r w:rsidR="00000000" w:rsidRPr="00000000" w:rsidDel="00000000">
              <w:rPr>
                <w:rtl w:val="0"/>
              </w:rPr>
              <w:t xml:space="preserve">1) likumprojekta 17. panta piektā daļa paredz, ka </w:t>
            </w:r>
            <w:r w:rsidR="00000000" w:rsidRPr="00000000" w:rsidDel="00000000">
              <w:rPr>
                <w:rtl w:val="0"/>
              </w:rPr>
              <w:t xml:space="preserve">Ministru kabinets nosaka </w:t>
            </w:r>
            <w:r w:rsidR="00000000" w:rsidRPr="00000000" w:rsidDel="00000000">
              <w:rPr>
                <w:u w:val="single"/>
                <w:rtl w:val="0"/>
              </w:rPr>
              <w:t xml:space="preserve">kārtību, kādā piemēro</w:t>
            </w:r>
            <w:r w:rsidR="00000000" w:rsidRPr="00000000" w:rsidDel="00000000">
              <w:rPr>
                <w:rtl w:val="0"/>
              </w:rPr>
              <w:t xml:space="preserve"> nododamo emisijas kvotu apjomu un </w:t>
            </w:r>
            <w:r w:rsidR="00000000" w:rsidRPr="00000000" w:rsidDel="00000000">
              <w:rPr>
                <w:u w:val="single"/>
                <w:rtl w:val="0"/>
              </w:rPr>
              <w:t xml:space="preserve">netiek piemērots</w:t>
            </w:r>
            <w:r w:rsidR="00000000" w:rsidRPr="00000000" w:rsidDel="00000000">
              <w:rPr>
                <w:rtl w:val="0"/>
              </w:rPr>
              <w:t xml:space="preserve"> kvotu nodošanas pienākums. Savukārt projekta II. nodaļa noteic normas par nododamo emisiju kvotu </w:t>
            </w:r>
            <w:r w:rsidR="00000000" w:rsidRPr="00000000" w:rsidDel="00000000">
              <w:rPr>
                <w:u w:val="single"/>
                <w:rtl w:val="0"/>
              </w:rPr>
              <w:t xml:space="preserve">apjomu</w:t>
            </w:r>
            <w:r w:rsidR="00000000" w:rsidRPr="00000000" w:rsidDel="00000000">
              <w:rPr>
                <w:rtl w:val="0"/>
              </w:rPr>
              <w:t xml:space="preserve">, tostarp arī nosakot gadījumus, kad kuģošanas sabiedrībām nav jānodod emisijas kvotas (sk. projekta 4. punktu);</w:t>
            </w:r>
            <w:r w:rsidR="00000000" w:rsidRPr="00000000" w:rsidDel="00000000">
              <w:rPr>
                <w:rtl w:val="0"/>
              </w:rPr>
              <w:t xml:space="preserve">2) kaut arī likumprojekta 18. panta ceturtās daļas 2. punktā ir ietverts pilnvarojums Ministru kabinetam noteikt kārtību, kādā Valsts vides dienests </w:t>
            </w:r>
            <w:r w:rsidR="00000000" w:rsidRPr="00000000" w:rsidDel="00000000">
              <w:rPr>
                <w:u w:val="single"/>
                <w:rtl w:val="0"/>
              </w:rPr>
              <w:t xml:space="preserve">pārbauda un apstiprina likumprojekta 18. panta ceturtās daļas 1. punktā minētos ziņojumus un monitoringa plānu</w:t>
            </w:r>
            <w:r w:rsidR="00000000" w:rsidRPr="00000000" w:rsidDel="00000000">
              <w:rPr>
                <w:rtl w:val="0"/>
              </w:rPr>
              <w:t xml:space="preserve">, projektā nav ietverta kārtība, kādā dienests pārbauda un apstiprina kādus ziņojumus;</w:t>
            </w:r>
            <w:r w:rsidR="00000000" w:rsidRPr="00000000" w:rsidDel="00000000">
              <w:rPr>
                <w:rtl w:val="0"/>
              </w:rPr>
              <w:t xml:space="preserve">3) projekta 10. punkts pirmšķietami neatbilst likumā paredzētajam pilnvarojumam, jo tas neparedz kārtību noteikt kādas darbības, ko veic verificētājs (piemēram, sagatavo atbilstības dokumentu), bet gan paredz noteikt</w:t>
            </w:r>
            <w:r w:rsidR="00000000" w:rsidRPr="00000000" w:rsidDel="00000000">
              <w:rPr>
                <w:u w:val="single"/>
                <w:rtl w:val="0"/>
              </w:rPr>
              <w:t xml:space="preserve"> kārtību, kādā tiek novērtēta verificētāja atbilstība verifikācijas veikšanai</w:t>
            </w:r>
            <w:r w:rsidR="00000000" w:rsidRPr="00000000" w:rsidDel="00000000">
              <w:rPr>
                <w:rtl w:val="0"/>
              </w:rPr>
              <w:t xml:space="preserve"> (likumprojekta 18. panta ceturtās daļas 3. punkts). </w:t>
            </w:r>
            <w:r w:rsidR="00000000" w:rsidRPr="00000000" w:rsidDel="00000000">
              <w:rPr>
                <w:rtl w:val="0"/>
              </w:rPr>
              <w:t xml:space="preserve">Citastarp lūdzam izvērtēt arī projekta 9. punkta atbilstību pilnvarojumam, ņemot vērā, ka projekta 9. punktā nav noteikta kārtība, kādā tiek </w:t>
            </w:r>
            <w:r w:rsidR="00000000" w:rsidRPr="00000000" w:rsidDel="00000000">
              <w:rPr>
                <w:u w:val="single"/>
                <w:rtl w:val="0"/>
              </w:rPr>
              <w:t xml:space="preserve">novērtēta verificētāja atbilstība</w:t>
            </w:r>
            <w:r w:rsidR="00000000" w:rsidRPr="00000000" w:rsidDel="00000000">
              <w:rPr>
                <w:rtl w:val="0"/>
              </w:rPr>
              <w:t xml:space="preserve"> verifikācijas veikšanai;</w:t>
            </w:r>
            <w:r w:rsidR="00000000" w:rsidRPr="00000000" w:rsidDel="00000000">
              <w:rPr>
                <w:rtl w:val="0"/>
              </w:rPr>
              <w:t xml:space="preserve">4) likumprojekta 17. panta ceturtās daļas 4. punktā paredzētais pilnvarojums nav pilnībā izpildīts projektā. Piemēram, projektā nav regulēta nekāda informācijas aprite starp Klimata un enerģētikas ministriju un kādu no normā minētajām institūcijām.</w:t>
            </w:r>
            <w:r w:rsidR="00000000" w:rsidRPr="00000000" w:rsidDel="00000000">
              <w:rPr>
                <w:rtl w:val="0"/>
              </w:rPr>
              <w:t xml:space="preserve">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w:t>
            </w:r>
            <w:r w:rsidR="00000000" w:rsidRPr="00000000" w:rsidDel="00000000">
              <w:rPr>
                <w:i w:val="1"/>
                <w:rtl w:val="0"/>
              </w:rPr>
              <w:t xml:space="preserve">Satversmes tiesas 2011. gada 6. maija spriedums lietā Nr. 2010-57-03, 13.3. apakšpunkts</w:t>
            </w:r>
            <w:r w:rsidR="00000000" w:rsidRPr="00000000" w:rsidDel="00000000">
              <w:rPr>
                <w:rtl w:val="0"/>
              </w:rPr>
              <w:t xml:space="preserve">). Ja tiesību normā jēdziens "kārtība" nav izmantots, tad pilnvarojums ir atšķirīgs un aptver ne tikai tiesības regulēt darbību procesuālo aspektu (</w:t>
            </w:r>
            <w:r w:rsidR="00000000" w:rsidRPr="00000000" w:rsidDel="00000000">
              <w:rPr>
                <w:i w:val="1"/>
                <w:rtl w:val="0"/>
              </w:rPr>
              <w:t xml:space="preserve">Satversmes tiesas 2016. gada 2. marta spriedums lietā Nr. 2015-11-03, 23.3. apakšpunkts</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Ievērojot minēto, lūdzam izvērtēt un nepieciešamības gadījumā precizēt vai papildināt likumprojektā ietvertos pilnvarojumus, kā arī atbilstoši precizēt projektu vai sniegt pamatotus skaidrojumus anotācijā par projektā ietverto normu atbilstību likumprojektā paredzētajam pilnvarojumam.</w:t>
            </w:r>
            <w:r w:rsidR="00000000" w:rsidRPr="00000000" w:rsidDel="00000000">
              <w:rPr>
                <w:rtl w:val="0"/>
              </w:rPr>
              <w:t xml:space="preserve">Citastarp arī norādām, ka anotācijā ietvertajiem skaidrojumiem ir jāatbilst likumā ietvertajam pilnvarojumam un attiecīgi arī projektā ietvertajam regulējumam. Pašreiz anotācijā ietvertie skaidrojumi vairākās vietās nekorekti skaidro likumā ietverto pilnvarojumu, piemēram: 1) "</w:t>
            </w:r>
            <w:r w:rsidR="00000000" w:rsidRPr="00000000" w:rsidDel="00000000">
              <w:rPr>
                <w:i w:val="1"/>
                <w:rtl w:val="0"/>
              </w:rPr>
              <w:t xml:space="preserve">[..] un notiek informācijas aprite starp iesaistītajām institūcijām (Valsts vides dienestu (turpmāk – VVD), Valsts sabiedrība ar ierobežotu atbildību “Latvijas Jūras administrācija” (turpmāk – LJA), Eiropas Komisiju un </w:t>
            </w:r>
            <w:r w:rsidR="00000000" w:rsidRPr="00000000" w:rsidDel="00000000">
              <w:rPr>
                <w:i w:val="1"/>
                <w:u w:val="single"/>
                <w:rtl w:val="0"/>
              </w:rPr>
              <w:t xml:space="preserve">kuģošanas sabiedrību"</w:t>
            </w:r>
            <w:r w:rsidR="00000000" w:rsidRPr="00000000" w:rsidDel="00000000">
              <w:rPr>
                <w:rtl w:val="0"/>
              </w:rPr>
              <w:t xml:space="preserve"> (kuģošanas sabiedrība nav minēta likumprojekta 18. panta ceturtās daļas 4. punktā, taču tur ir minēta Klimata un enerģētikas ministrija); 2) "</w:t>
            </w:r>
            <w:r w:rsidR="00000000" w:rsidRPr="00000000" w:rsidDel="00000000">
              <w:rPr>
                <w:i w:val="1"/>
                <w:rtl w:val="0"/>
              </w:rPr>
              <w:t xml:space="preserve">noteikt jaunu tiesisko regulējumu, ar kuru nosaka</w:t>
            </w:r>
            <w:r w:rsidR="00000000" w:rsidRPr="00000000" w:rsidDel="00000000">
              <w:rPr>
                <w:i w:val="1"/>
                <w:u w:val="single"/>
                <w:rtl w:val="0"/>
              </w:rPr>
              <w:t xml:space="preserve"> prasības jūras transporta darbībām ES ETS,</w:t>
            </w:r>
            <w:r w:rsidR="00000000" w:rsidRPr="00000000" w:rsidDel="00000000">
              <w:rPr>
                <w:i w:val="1"/>
                <w:rtl w:val="0"/>
              </w:rPr>
              <w:t xml:space="preserve"> kā arī </w:t>
            </w:r>
            <w:r w:rsidR="00000000" w:rsidRPr="00000000" w:rsidDel="00000000">
              <w:rPr>
                <w:i w:val="1"/>
                <w:u w:val="single"/>
                <w:rtl w:val="0"/>
              </w:rPr>
              <w:t xml:space="preserve">noteikt esošos pienākumus</w:t>
            </w:r>
            <w:r w:rsidR="00000000" w:rsidRPr="00000000" w:rsidDel="00000000">
              <w:rPr>
                <w:u w:val="single"/>
                <w:rtl w:val="0"/>
              </w:rPr>
              <w:t xml:space="preserve">"</w:t>
            </w:r>
            <w:r w:rsidR="00000000" w:rsidRPr="00000000" w:rsidDel="00000000">
              <w:rPr>
                <w:rtl w:val="0"/>
              </w:rPr>
              <w:t xml:space="preserve">. Attiecīgi aicinām pārskatīt anotācijā ietvertos skaidrojumus un tos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sabiedrības var nodot par 5 % mazāk kvotu nekā to verificētās emisijas, kas līdz 2030. gada 31. decembrim radušās no ledus klases kuģiem, ar noteikumu, ka šādiem kuģiem ir IA vai IA Super ledus klase vai līdzvērtīga ledus klase, kas noteikta, pamatojoties uz  Eiropas Parlamenta un Padomes 2003. gada 13. oktobra direktīvas 2003/87/EK, ar kuru nosaka sistēmu siltumnīcas efektu izraisošo gāzu emisijas kvotu tirdzniecībai Eiropas Savienībā un groza Eiropas Padomes Direktīvu 96/61/EK, 12. panta 3.e apakšpunktā minēto 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(turpmāk - LESD) 288. panta trešo daļu direktīvas dalībvalstīm uzliek saistības attiecībā uz sasniedzamo rezultātu, bet ļauj šo valstu varasiestādēm noteikt to īstenošanas formas un metodes. Proti, direktīvas atšķirībā no regulām </w:t>
            </w:r>
            <w:r w:rsidR="00000000" w:rsidRPr="00000000" w:rsidDel="00000000">
              <w:rPr>
                <w:u w:val="single"/>
                <w:rtl w:val="0"/>
              </w:rPr>
              <w:t xml:space="preserve">nav tieši piemērojams</w:t>
            </w:r>
            <w:r w:rsidR="00000000" w:rsidRPr="00000000" w:rsidDel="00000000">
              <w:rPr>
                <w:rtl w:val="0"/>
              </w:rPr>
              <w:t xml:space="preserve"> Eiropas Savienības tiesību akts, līdz ar to </w:t>
            </w:r>
            <w:r w:rsidR="00000000" w:rsidRPr="00000000" w:rsidDel="00000000">
              <w:rPr>
                <w:u w:val="single"/>
                <w:rtl w:val="0"/>
              </w:rPr>
              <w:t xml:space="preserve">Latvijas tiesību aktu tekstos (normās) neietver atsauces uz direktīvām.</w:t>
            </w:r>
            <w:r w:rsidR="00000000" w:rsidRPr="00000000" w:rsidDel="00000000">
              <w:rPr>
                <w:rtl w:val="0"/>
              </w:rPr>
              <w:t xml:space="preserve"> Direktīvu prasības ir jāpārņem nacionālajos normatīvajos aktos, uz kuriem, ja nepieciešams, attiecīgi ir izdarāmas atsauces. Ievērojot minēto, lūdzam precizēt projekta 3. punktu un 11.1. apakšpunktu, svītrojot atsauces uz direktīvas normām, un atbilstoši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projektā nedrīkst atsaukties un uzlikt par pienākumu indivīdam ievērot starptautiskus dokumentus (ieteikumus, vadlīnijas u.tml.), kuri nav privātpersonām saistoši. Attiecīgi lūdzam izvērtēt un svītrot atsauci uz projekta 3. punktā minēto ieteikumu vai arī sniegt pamatotu skaidrojumu par tā juridisko spēku attiecībā uz privātpersonām, kā arī šādas atsauces nepieciešamību un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rodas pasažieru kuģu, kas nav kruīza kuģi, un Ro-Ro pasažieru kuģu reisos starp Eiropas Komisijas Īstenošanas 2023. gada 19. decembra lēmuma Nr. 2023/2895, ar ko nosaka Eiropas Parlamenta un Padomes Direktīvas 2003/87/EK 12. panta 3.-d punktā minēto salu un ostu sarakstu un minētās direktīvas 12. panta 3.-c punktā minēto starptautisku publisko pakalpojumu līgumu vai starptautisku sabiedrisko pakalpojumu saistību sarakstu, I pielikumā norādītu salas ostu un tās pašas dalībvalsts jurisdikcijā esošu ostu, kā arī no tādām darbībām ostā, ko šādi kuģi veic saistībā ar šādiem reisiem. Šī apakšpunkta izpratnē kruīza kuģis ir pasažieru kuģis, kam nav kravas klāja un kas paredzēts vienīgi pasažieru komercpārvadājumiem un kas nodrošina naktsmītnes jūras reisā;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LESD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Ja šādos lēmumos ietvertos nosacījumus piemērotu attiecībās ar privātpersonām, tie jāpārņem nacionālajos normatīvajos aktos. Pārņemot lēmumos ietvertos nosacījumus nacionālajos tiesību aktos, piemēro tos pašus nosacījumus kā direktīvu normu pārņemšanā. Attiecīgi lūdzam projektā svītrot atsauces uz Eiropas Savienības lēmumu un, ja nepieciešams, pārņemt tā prasības projektā vai citviet nacionālajos normatīvajos aktos un izdarot attiecīgu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 projektā tiek pārņemtas Eiropas Savienības lēmuma prasības, nepieciešams informāciju par tā prasību pārņemšanu projektā norādīt arī anotācijas 5.4. apakšsadaļas 1. tabulā. Attiecīgi aicinām tabulu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radušās gan reisos starp ostām, kas atrodas noteiktās dalībvalsts vienā konkrētā tālākajā reģionā, reisos starp ostām, kas atrodas tās pašā dalībvalsts dažādos tālākos reģionos , , un reisos starp ostām, kas atrodas starp divu dalībvalstu tālākajiem reģioniem, gan arī no tādām minēto kuģu darbībām ostā, ko šādi kuģi veic saistībā ar šādiem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apakšpunkta izpratnē tālākais reģions ir salas, arhipelāgi un viena sauszemes teritorija, kuras ir noteiktas Līgumā par Eiropas Savienības darbību 349. pantā un, kurām piemēro Līguma par Eiropas Savienības darbību 355.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4.3. apakšpunkta gramatiskais formulējums atšķiras no Direktīvas 2023/959 1. panta 21. punkta "d" apakšpunktā ietvertā </w:t>
            </w:r>
            <w:r w:rsidR="00000000" w:rsidRPr="00000000" w:rsidDel="00000000">
              <w:rPr>
                <w:i w:val="1"/>
                <w:rtl w:val="0"/>
              </w:rPr>
              <w:t xml:space="preserve">Eiropas Parlamenta un Padomes Direktīvas 2003/87/EK (2003. gada 13. oktobris), ar kuru nosaka sistēmu siltumnīcas efektu izraisošo gāzu emisijas kvotu tirdzniecībai Savienībā un groza Padomes Direktīvu 96/61/EK</w:t>
            </w:r>
            <w:r w:rsidR="00000000" w:rsidRPr="00000000" w:rsidDel="00000000">
              <w:rPr>
                <w:rtl w:val="0"/>
              </w:rPr>
              <w:t xml:space="preserve"> (turpmāk - Direktīva 2003/87/EK) 12. panta 3.-b punktā ietvertās tiesību normas. Piemēram, projekta 4.3. apakšpunktā nav norādes uz emisijām, kas "</w:t>
            </w:r>
            <w:r w:rsidR="00000000" w:rsidRPr="00000000" w:rsidDel="00000000">
              <w:rPr>
                <w:i w:val="1"/>
                <w:rtl w:val="0"/>
              </w:rPr>
              <w:t xml:space="preserve">radušās [..] reisos starp ostu, kas atrodas dalībvalsts tālākajā reģionā, </w:t>
            </w:r>
            <w:r w:rsidR="00000000" w:rsidRPr="00000000" w:rsidDel="00000000">
              <w:rPr>
                <w:i w:val="1"/>
                <w:u w:val="single"/>
                <w:rtl w:val="0"/>
              </w:rPr>
              <w:t xml:space="preserve">un ostu, kas atrodas tajā pašā dalībvalstī</w:t>
            </w:r>
            <w:r w:rsidR="00000000" w:rsidRPr="00000000" w:rsidDel="00000000">
              <w:rPr>
                <w:i w:val="1"/>
                <w:rtl w:val="0"/>
              </w:rPr>
              <w:t xml:space="preserve">, tostarp reisi starp ostām tālākajos reģionos un reisos starp ostām tās pašas dalībvalsts tālākajos reģionos</w:t>
            </w:r>
            <w:r w:rsidR="00000000" w:rsidRPr="00000000" w:rsidDel="00000000">
              <w:rPr>
                <w:rtl w:val="0"/>
              </w:rPr>
              <w:t xml:space="preserve">". Attiecīgi lūdzam izvērtēt un precizēt projekta 4.3. apakšpunktu, vai sniegt skaidrojumu par to, kā tajā pilnībā un korekti pārņemta minētā Direktīvas 2023/959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Kuģošanas sabiedrību emisiju ziņojumi, verifikācija un konti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likumprojektā ietvertajā pilnvarojumā Ministru kabinetam, uz kura pamata paredzēts izdot noteikumus, ne citviet projektā nav minēti kādi "konti", attiecīgi lūdzam precizēt projekta III.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Kuģošanas sabiedrība par katru tās pārziņā esošu kuģi sagatavo regulas Nr.  2015/757 6. panta 1. punktā minēto monitoringa plānu (turpmāk – monitoringa plāns) un regulas Nr.  2015/757 11. panta 1. punktā minēto emisiju ziņojumu. Tos sagatavo, izmantojot elektroniskās veidlapas, kas noteiktas Eiropas Komisijas 2023. gada 6. novembra Īstenošanas regulas Nr.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 (turpmāk – regula Nr. 2023/2449) 1. un 2. pantā. Minētās veidlapas tiešsaistes režīmā ir pieejamas Eiropas Jūras drošības aģentūras pārvaldītajā automatizētajā Eiropas Savienības informācijas sistēmā "THETIS-MRV"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novērst likumprojektā jau ietvertā regulējuma, kā arī </w:t>
            </w:r>
            <w:r w:rsidR="00000000" w:rsidRPr="00000000" w:rsidDel="00000000">
              <w:rPr>
                <w:i w:val="1"/>
                <w:rtl w:val="0"/>
              </w:rPr>
              <w:t xml:space="preserve">Komisijas Īstenošanas 2023. gada 6. novembra regula Nr. 2023/2449, ar ko nosaka noteikumus par to, kā Eiropas Parlamenta un Padomes Regulu (ES) 2015/757 piemērot attiecībā uz monitoringa plānu, emisiju ziņojumu, daļēju emisiju ziņojumu, atbilstības dokumentu un uzņēmuma līmenī sagatavotu ziņojumu veidlapām, un atceļ Komisijas Īstenošanas regulu (ES) 2016/1927</w:t>
            </w:r>
            <w:r w:rsidR="00000000" w:rsidRPr="00000000" w:rsidDel="00000000">
              <w:rPr>
                <w:rtl w:val="0"/>
              </w:rPr>
              <w:t xml:space="preserve"> (turpmāk - Regula 2023/2449) un </w:t>
            </w:r>
            <w:r w:rsidR="00000000" w:rsidRPr="00000000" w:rsidDel="00000000">
              <w:rPr>
                <w:i w:val="1"/>
                <w:rtl w:val="0"/>
              </w:rPr>
              <w:t xml:space="preserve">Eiropas Parlamenta un Padomes 2015. gada 29. aprīļa Regulas 2015/757 par jūras transporta oglekļa dioksīda emisiju monitoringu, ziņošanu un verifikāciju un ar ko groza Direktīvu 2009/16/EK</w:t>
            </w:r>
            <w:r w:rsidR="00000000" w:rsidRPr="00000000" w:rsidDel="00000000">
              <w:rPr>
                <w:rtl w:val="0"/>
              </w:rPr>
              <w:t xml:space="preserve"> (turpmāk - Regula 2015/757) prasību dublēšanu projektā vai arī sniegt skaidrojumu.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5. punkts daļēji dublē likumprojekta 18. panta otrajā daļā jau ietverto prasību, kā arī dublē Regulas 2023/2449 1. panta 1. punktu un 2. panta 1. punktu un Regulas 2015/757 12.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 punkts arī vismaz daļēji dublē likumprojekta 18. panta otrajā daļā ietverto prasību. Turklāt likumprojektā ir minēts "pārbaudīts", nevis "verificēts" ziņojums, kā arī likumprojektā nav norādes, ka ziņojums būtu iesniedzams arī "attiecīgo karoga valstu iestādēm par kuģiem, kuri kuģo ar citas valsts karogu";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7. punkts vismaz daļēji dublē Regulas 2015/757 11.a panta 2. punktu, kā arī Regulas 2023/2449 4.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projektu vai sniegt pamatotu skaidrojumu par likumprojekta un regulu normu dublēšanu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6. punkts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kādēļ nepieciešams projekta 6. punktam noteikt atliktu spēkā stāšanos 2025. gada 1. janvārī, īpaši, ņemot vērā, ka projekta 6. punktā ietvertā prasība kuģošanas sabiedrībai jāpilda katru gadu līdz 31. martam, taču 2024. gada 31. marts ir jau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vienlaikus ar Klimata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spēkā stāšanās laiku nosaka Oficiālo publikāciju un tiesiskās informācijas likuma 7. panta otrā daļa. Atbilstoši juridiskās tehnikas prasībām tiek izmantoti divi Ministru kabineta noteikumu spēkā stāšanās veidi: 1) noteikumi stājas spēkā vispārējā kārtībā - nākamajā dienā pēc to izsludināšanas (publicēšanas oficiālajā izdevumā “Latvijas Vēstnesis”); 2) noteikumi stājas spēkā pašos noteikumos noteiktajā termiņā. Norādām, ka nav juridiski korekti norādīt, ka Ministru kabineta noteikumu spēkā stāšanās ir atkarīga no cita tiesību akta spēkā stāšanās.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veikt precizējumus vai sniegt skaidrojumus saistībā ar anotācijas 5.4. apakšsadaļas 1. tabulā ietverto informāciju par Eiropas Savienības regulās ietverto prasību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reizē gan norādot, ka projekta 1.3. apakšpunktā nav precīzi pārrakstīts likumā paredzētais pilnvarojums, vēršam uzmanību, ka atsauce uz Regulas 2015/757 3. panta "f" punktu ietverta nevis projekta 1.4. apakšpunktā, bet gan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tabulu, ņemot vērā arī citviet projektā ietvertās atsauces uz regulu vienībām (sk., piemēram, projekta 7. punktu, 8. punktu, 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10. punktā nav paredzēta kāda informācijas aprite, attiecīgi aicinām svītrot norādi, ka projekta 10. punktā ir ieviests Regulas 2015/757 20.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papildināt tabulu par Regulas 2023/2449 prasību ieviešanu projektā, ņemot vērā projekta 5. punktā ietverto atsauci uz minētās regulas 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norādīt korektu projekta vienību, kurā ieviests Regulas 2023/2449 3. panta 1. punkts (proti, nevis 5. punkts, bet 10.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veikt precizējumus vai sniegt skaidrojumus saistībā ar anotācijas 5.4. apakšsadaļas 1. tabulā ietverto informāciju par Direktīvas 2023/959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projektā ietvertā regulējuma kontekstā tabulā sniegt informāciju arī par direktīvas 1. panta 7. punktā ietvertā Direktīvas 2003/87/EK 3.ga panta (īpaši 1. un 3. punkta) pārņemšanu, norādot, kur attiecīgās normas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informāciju par direktīvas 1. panta 7. punktā ietvertā Direktīvas 2003/87/EK 3.gb panta otrās daļas ("</w:t>
            </w:r>
            <w:r w:rsidR="00000000" w:rsidRPr="00000000" w:rsidDel="00000000">
              <w:rPr>
                <w:i w:val="1"/>
                <w:rtl w:val="0"/>
              </w:rPr>
              <w:t xml:space="preserve">Ja tiek nodots kvotu skaits, kas ir mazāks par jūras transporta verificētajām emisijām 2024. un 2025. gadā, tad pēc tam, kad ir noskaidrota starpība starp verificētajām emisijām un nodotajām kvotām katrā no šiem gadiem, minētajai starpībai atbilstošo kvotu apjomu anulē, nevis izsola saskaņā ar 10. pantu.</w:t>
            </w:r>
            <w:r w:rsidR="00000000" w:rsidRPr="00000000" w:rsidDel="00000000">
              <w:rPr>
                <w:rtl w:val="0"/>
              </w:rPr>
              <w:t xml:space="preserve">")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informāciju par direktīvas 1. panta 7. punktā ietvertā Direktīvas 2003/87/EK 3.gd un 3.ge pantu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sniegt informāciju par direktīvas 1. panta 21. punkta "d" apakšpunktā ietvertā Direktīvas 2003/87/EK 12. panta 3.e punkta otrās daļas ("</w:t>
            </w:r>
            <w:r w:rsidR="00000000" w:rsidRPr="00000000" w:rsidDel="00000000">
              <w:rPr>
                <w:i w:val="1"/>
                <w:rtl w:val="0"/>
              </w:rPr>
              <w:t xml:space="preserve">Ja tiek nodots kvotu skaits, kas ir mazāks nekā verificētās emisijas, tad pēc tam, kad ir noskaidrota starpība starp verificētajām emisijām un nodotajām kvotām katrā no šiem gadiem, minētajai starpībai atbilstošo kvotu apjomu nevis izsola saskaņā ar 10. pantu, bet anulē</w:t>
            </w:r>
            <w:r w:rsidR="00000000" w:rsidRPr="00000000" w:rsidDel="00000000">
              <w:rPr>
                <w:rtl w:val="0"/>
              </w:rPr>
              <w:t xml:space="preserve">.") pārņemšanu, kā arī projektā ietvertā regulējuma kontekstā par citu 1. panta 21. punkta apakšvienību, tostarp 1. panta 21. punkta "a", "c" un "e" apakšpunkta,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40 % no verificētajām emisijām, kuras paziņotas par 2024. gadu un uz kurām attiektos nodošanas prasības saskaņā ar Klimata likuma 22.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22. pantā ietvertas apakšvienības, kurās ir ietvertas saturiski dažādas tiesību normas. Attiecīgi aicinām izvērtēt iespēju konkretizēt atsauci, norādot uz konkrētu Klimata likuma 22. panta apakšvienību, kurā ietvertas emisijas kvotu nodošanas prasības. Alternatīvi aicinām sniegt skaidrojumu. Aicinām arī tiesiskās noteiktības labad aizstāt vārdu "attiektos" ar citu piemērotu vārdu ("attiecas"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arī citviet projektā ietverto regulējumu (piemēram, bet ne tikai, 2. punktu), aicinām izvērtēt atsauču uz citiem normatīvajiem aktiem, kā arī iekšējo atsauču ietveršanas nepieciešamību projektā, un tās ietvert, ja tās ir objektīvi nepieciešamas normas korektai un pilnīgai piemērošanai un interpretācijai. Norādām, ka atsauču ietveršana var sarežģīt regulējuma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sabiedrībām nav jānodod Klimata likuma 22. panta ceturtajā daļā noteiktās emisijas kvotas par emisijām, kas līdz 2030.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prasība, ka </w:t>
            </w:r>
            <w:r w:rsidR="00000000" w:rsidRPr="00000000" w:rsidDel="00000000">
              <w:rPr>
                <w:u w:val="single"/>
                <w:rtl w:val="0"/>
              </w:rPr>
              <w:t xml:space="preserve">nav jānodod emisijas kvotas</w:t>
            </w:r>
            <w:r w:rsidR="00000000" w:rsidRPr="00000000" w:rsidDel="00000000">
              <w:rPr>
                <w:rtl w:val="0"/>
              </w:rPr>
              <w:t xml:space="preserve">, ir atbilstoša un pietiekama Direktīvas 2023/959 1. panta 21. punkta "d" apakšpunkta, ar ko papilda Direktīvas 2003/87/EK 12. pantu ar 3.-d un 3.-c punktu, kā arī Komisijas Īstenošanas 2023. gada 19. decembra lēmuma Nr. 2023/2895, ar ko nosaka Eiropas Parlamenta un Padomes Direktīvas 2003/87/EK 12. panta 3.-d punktā minēto salu un ostu sarakstu un minētās direktīvas 12. panta 3.-c punktā minēto starptautisku publisko pakalpojumu līgumu vai starptautisku sabiedrisko pakalpojumu saistību sarakstu 1. panta ("</w:t>
            </w:r>
            <w:r w:rsidR="00000000" w:rsidRPr="00000000" w:rsidDel="00000000">
              <w:rPr>
                <w:i w:val="1"/>
                <w:rtl w:val="0"/>
              </w:rPr>
              <w:t xml:space="preserve">Dalībvalstis uzskata, ka Direktīvas 2003/87/EK 12. panta 3. punkta pirmās daļas c) apakšpunktā un 16. pantā noteiktās prasības ir izpildītas, </w:t>
            </w:r>
            <w:r w:rsidR="00000000" w:rsidRPr="00000000" w:rsidDel="00000000">
              <w:rPr>
                <w:i w:val="1"/>
                <w:u w:val="single"/>
                <w:rtl w:val="0"/>
              </w:rPr>
              <w:t xml:space="preserve">un neveic nekādas darbības pret kuģošanas sabiedrībām attiecībā uz emisijām</w:t>
            </w:r>
            <w:r w:rsidR="00000000" w:rsidRPr="00000000" w:rsidDel="00000000">
              <w:rPr>
                <w:i w:val="1"/>
                <w:rtl w:val="0"/>
              </w:rPr>
              <w:t xml:space="preserve"> [..]</w:t>
            </w:r>
            <w:r w:rsidR="00000000" w:rsidRPr="00000000" w:rsidDel="00000000">
              <w:rPr>
                <w:rtl w:val="0"/>
              </w:rPr>
              <w:t xml:space="preserve">") pilnīgai pārņemšanai. Proti, aicinām skaidrot, vai darbību pret kuģošanas sabiedrībām attiecībā uz emisijām neveikšana nav plašāka satura par emisijas kvotu nenodošanu. Ja nepieciešams, aicinām precizēt projektu, reizē ņemot vērā likumprojektā ietverto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radušās gan reisos starp ostām, kas atrodas noteiktās dalībvalsts vienā konkrētā tālākajā reģionā, reisos starp ostām, kas atrodas tās pašā dalībvalsts dažādos tālākos reģionos , , un reisos starp ostām, kas atrodas starp divu dalībvalstu tālākajiem reģioniem, gan arī no tādām minēto kuģu darbībām ostā, ko šādi kuģi veic saistībā ar šādiem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apakšpunkta izpratnē tālākais reģions ir salas, arhipelāgi un viena sauszemes teritorija, kuras ir noteiktas Līgumā par Eiropas Savienības darbību 349. pantā un, kurām piemēro Līguma par Eiropas Savienības darbību 355.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4.3. apakšpunktā tiek pārņemta Direktīvas 2023/959 prasība, lūdzam anotācijā skaidrot, vai projekta 4.3. apakšpunkta 2. teikumā ietvertā termina "tālākais reģions" izpratne izriet no kāda Eiropas Savienības tiesību akta (piemēram, Direktīvas 2023/959), vai arī pamatot, kādēļ termina izpratne noteikta tieši šāda.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Kuģošanas sabiedrība, kuras administrējošā iestāde ir Latvija,  katru gadu līdz 31. martam, saskaņā ar regulas Nr. 2015/757 11a. panta 2. punktu, iesniedz Valsts vides dienestam verificētus agregēto emisiju datus uzņēmuma līmenī, kuri aptver emisijas iepriekšējā gada ziņošanas laikposmā, par ko jāziņo saskaņā ar Klimata likuma 18.pantu, atbilstoši noteikumiem par monitoringu un to, kā ziņo agregētos emisiju datus uzņēmuma līmenī. Uzņēmuma līmenī sagatavoto ziņojumu sagatavo izmantojot regulas 2023/2449 4. pantā noteikto veidlapas formu. Veidlapa tiešsaistes režīmā ir pieejama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kādiem "noteikumiem par monitoringu un to, kā ziņo agregētos emisiju datus uzņēmuma līmenī" ir runa projekta 7. punktā (proti, uz kādu normatīvo aktu ietverta atsauce). Vēršam uzmanību, ka atsauces noteikumu projektā noformē atbilstoši Noteikumu Nr. 108 3.7. apakšnodaļai, tostarp, ja nepieciešams, </w:t>
            </w:r>
            <w:r w:rsidR="00000000" w:rsidRPr="00000000" w:rsidDel="00000000">
              <w:rPr>
                <w:rtl w:val="0"/>
              </w:rPr>
              <w:t xml:space="preserve">rakstot atsauci, kas norāda uz normatīvajiem aktiem noteiktā jomā (Noteikumu Nr. 108 137. punkts). Atgādinām, ka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vides dienests izskata un apstiprina verificētus monitoringa plānus saskaņā ar regulas Nr.  2015/757 6. panta 8. punktu un verificētus agregētos emisiju ziņojumus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18. panta ceturtās daļas 1. punktā ietvertajā pilnvarojumā minēti "agregētie emisiju </w:t>
            </w:r>
            <w:r w:rsidR="00000000" w:rsidRPr="00000000" w:rsidDel="00000000">
              <w:rPr>
                <w:u w:val="single"/>
                <w:rtl w:val="0"/>
              </w:rPr>
              <w:t xml:space="preserve">dati</w:t>
            </w:r>
            <w:r w:rsidR="00000000" w:rsidRPr="00000000" w:rsidDel="00000000">
              <w:rPr>
                <w:rtl w:val="0"/>
              </w:rPr>
              <w:t xml:space="preserve"> uzņēmuma līmenī", attiecīgi aicinām precizēt projektu, nodrošinot pilnīgu atbilstību pilnvarojumam, kā arī iekšēju terminoloģisku konsekvenci. Ja nepieciešams,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apakšsadaļu, attiecīgo informāciju norādot anotācijas 1.1. apakšsadaļā pie projekta izstrādes pamatojuma. Papildus aicinām papildināt anotācijas 1.3. apakšsadaļu, pamatojot projekta 14. punktu, kas paredz atzīt par spēku zaudējušiem Ministru kabineta 2018. gada 17. jūlija noteikumus Nr. 430 "Kārtība, kādā sagatavo, pārbauda un iesniedz ziņojumu par jūras transporta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projektā nav ieviestas kādas Eiropas Parlamenta un Padomes </w:t>
            </w:r>
            <w:r w:rsidR="00000000" w:rsidRPr="00000000" w:rsidDel="00000000">
              <w:rPr>
                <w:rtl w:val="0"/>
              </w:rPr>
              <w:t xml:space="preserve">2023. gada 10. maija regulas (ES) 2023/957, </w:t>
            </w:r>
            <w:r w:rsidR="00000000" w:rsidRPr="00000000" w:rsidDel="00000000">
              <w:rPr>
                <w:rtl w:val="0"/>
              </w:rPr>
              <w:t xml:space="preserve">ar ko groza Regulu (ES) 2015/757, lai paredzētu jūras transporta darbību gāzu iekļaušanu ES emisijas kvotu tirdzniecības sistēmā un papildu siltumnīcefekta gāzu emisiju un emisiju no papildu kuģu veidiem monitoringu, ziņošanu un verifikāciju, prasības. Ja nepieciešams,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31.10.2024.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31.10.2024.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