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4.punkts noteikumu projektā ir iekļauts svītrojot noteikumu 23.punktu un ietverot to noteikumu I nodaļā kā 3.</w:t>
            </w:r>
            <w:r w:rsidR="00000000" w:rsidRPr="00000000" w:rsidDel="00000000">
              <w:rPr>
                <w:vertAlign w:val="superscript"/>
                <w:rtl w:val="0"/>
              </w:rPr>
              <w:t xml:space="preserve">1</w:t>
            </w:r>
            <w:r w:rsidR="00000000" w:rsidRPr="00000000" w:rsidDel="00000000">
              <w:rPr>
                <w:rtl w:val="0"/>
              </w:rPr>
              <w:t xml:space="preserve"> punktu, lūdzam papildināt anotāciju ar skaidrojumu par šo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svītrot 23. punktu, bet tā regulējumu ietvert noteikumu I nodaļā (kā 3.</w:t>
            </w:r>
            <w:r w:rsidR="00000000" w:rsidRPr="00000000" w:rsidDel="00000000">
              <w:rPr>
                <w:vertAlign w:val="superscript"/>
                <w:rtl w:val="0"/>
              </w:rPr>
              <w:t xml:space="preserve">1</w:t>
            </w:r>
            <w:r w:rsidR="00000000" w:rsidRPr="00000000" w:rsidDel="00000000">
              <w:rPr>
                <w:rtl w:val="0"/>
              </w:rPr>
              <w:t xml:space="preserve"> punktu). Esošajā noteikumu redakcijā šis punkts ir iekļauts nodaļā "Noslēguma jautājumi", taču šā punkta regulējums darbojas pastāvīgi, nevis nosaka pārejas kārtību no pastāvošā tiesiskā regulējuma uz jauno tiesisko regulējumu. Papildus norādāms, ka noteikumu projektā 3.</w:t>
            </w:r>
            <w:r w:rsidR="00000000" w:rsidRPr="00000000" w:rsidDel="00000000">
              <w:rPr>
                <w:vertAlign w:val="superscript"/>
                <w:rtl w:val="0"/>
              </w:rPr>
              <w:t xml:space="preserve">1</w:t>
            </w:r>
            <w:r w:rsidR="00000000" w:rsidRPr="00000000" w:rsidDel="00000000">
              <w:rPr>
                <w:rtl w:val="0"/>
              </w:rPr>
              <w:t xml:space="preserve"> punktā paredzētais izņēmums attiecībā uz Ārlietu ministriju, nosakot, ka: “Ārlietu ministrijai nav saistošs šo noteikumu II nodaļas 8.punkts, kā arī III nodaļa attiecībā uz konsulāro maksas pakalpojumu izcenojumu noteikšanas metodiku. Konsulāro maksas pakalpojumu izcenojumu regulē normatīvie akti konsulāro pakalpojumu jomā”, skaidrojams ar to, ka konsulāro pakalpojumu sniegšanas izmaksas būtiski atšķiras atkarībā no pārstāvniecības atrašanās vietas un bieži pārsniedz par pakalpojumu gūtos ieņēmumus. Tāpat norādāms, ka, lai nodrošinātu metodikas piemērošanu, Ārlietu ministrija 2016. gada 31. augustā ir izstrādājusi iekšējos noteikumus Nr. 23 “Ārlietu ministrijas sniegto konsulāro maksas pakalpojumu izcenojumu aprēķināšanas metodika un izcenojumu apstiprināšanas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Studente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