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izziņā skaidrots, ka likuma “Par piesārņojumu” 1.panta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punkts tiks pārņemti likumā “Par zemes dzīlēm”, lūdzam anotācijas 4. sadaļu papildināt ar informāciju, ka saistībā ar likumprojektu tiesību akts, kurā cita starp jāizdara grozījumi, ir likums “Par zemes dzīlēm”, kā arī īsu aprakstu ar grozījumu nepieciešamību, kā tas paredzēts Vadlīnijās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"Klimata likums" 1. panta 37. punkts paredz līdzīgu regulējumu, kāds tas ir likuma "Par piesārņojumu" 1. panta 11.</w:t>
            </w:r>
            <w:r w:rsidR="00000000" w:rsidRPr="00000000" w:rsidDel="00000000">
              <w:rPr>
                <w:vertAlign w:val="superscript"/>
                <w:rtl w:val="0"/>
              </w:rPr>
              <w:t xml:space="preserve">1</w:t>
            </w:r>
            <w:r w:rsidR="00000000" w:rsidRPr="00000000" w:rsidDel="00000000">
              <w:rPr>
                <w:rtl w:val="0"/>
              </w:rPr>
              <w:t xml:space="preserve"> punktā, proti, oglekļa dioksīda uzglabāšana – process, kurā notiek oglekļa dioksīda plūsmu īslaicīga uzglabāšana speciāli piemērotās un aprīkotās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4. sadaļu papildināt ar attiecīgu informāciju par grozījumiem likumā “Par Latvijas Republikas dalību Kioto protokola elastīgajos mehānismos”, jo anotācijā norādīts, ka, pārstrādājot likumu “Par piesārņojumu”, izdalītas atsevišķas jomas un izstrādāti jauni likumprojekti vai veikti grozījumi spēkā esošajos likumos, tai skaitā Klimata likums un grozījumi likumā “Par Latvijas Republikas dalību Kioto protokola elastīgajos mehānismos”.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grozījumi stājas spēkā vienlaikus ar Klimata 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likuma spēkā stāšanās nosacījumu, kā arī anotācijas 1.2. sadaļu "Spēkā stāšanās termiņš". Vēršam uzmanību, ka arī Normatīvo aktu projektu izstrādes rokasgrāmatā paredzēts, ja likuma spēkā stāšanās laiku nosaka pašā likumā, izstrādājot likumprojektu, spēkā stāšanās formulējums sākas ar vārdiem "Likums stājas spēkā", kam seko konkrēts datums vai cits spēkā stāšanās nosacījums, ko raksta likuma beigās bez numerācijas.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