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resora enerģijas patēriņa samazināšanas pasākumu īstenošanas rezultāti 2022. – 2023. gada apkures sezonā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2. tabulā attiecībā uz Valsts kanceleju norādītie elektroenerģijas patēriņa dati ir kļūdaini (80 Mwh).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kancelejas elektroenerģijas patēriņa dati ir 593602 KwH (593, 6 MwH).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Signe Muceniece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