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24-TA-1463)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2014. gada 2. septembra noteikumos Nr. 529 "Ēku būvnoteikumi" (Latvijas Vēstnesis, 2014, 194. nr.; 2016, 209. nr.; 2017, 40. nr.; 2018, 75., 128., 191. nr.; 2019, 133., 239. nr.; 2022, 9., 123. nr.; 2023, 65., 189. , 750. nr.;)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Par: </w:t>
            </w:r>
            <w:r w:rsidR="00000000" w:rsidRPr="00000000" w:rsidDel="00000000">
              <w:rPr>
                <w:i w:val="1"/>
                <w:rtl w:val="0"/>
              </w:rPr>
              <w:t xml:space="preserve">1.12. papildināt noteikumu 107.1. apakšpunktu aiz vārdiem “dzīvojamo ēku” ar vārdiem un skaitli “kuras kopējā platība nav lielāka par 170 m2”;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Šādi papildinot 107.1.punktu sanāks pretrunas pašā punktā, kurš šobrīd ļauj būvētājam būvēt līdz apbūves laukums nav lielāks par 400 m2 un būvtilpums – par 2000 m3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Samazinot apjomu, tiks nevajadzīgi noslogoti būvspeciālisti.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šo punktu negrozīt nemaz, jo tas nekādi neietekmē rūpnieciski ražotas būves novietošanu.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23.10.2024.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23.10.2024.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