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valsts kapitālsabiedrība vai publiski privātā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arī pašvaldības kapitālsabiedrību par projekta iesniedzēju vai anotācijā ietvert attiecīgu pamatojumu, kāpēc par projekta iesniedzēju paredzēts noteikt tikai valsts kapitālsabiedrību un publiski privātu kapitālsabiedrību.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īpašuma, valdījuma vai turējuma tiesības ir nostiprinātas vai līdz projekta līguma noslēgšanai tiks nostiprinātas zemesgrāmatā uz laiku, kas nav īsāks par pieciem gadiem pēc projekta īstenošanas beigu termiņa (izņemot gadījumu, ja pašvaldības īpašums uz normatīvā akta, līguma vai pašvaldības lēmuma pamata ir nodots pārvaldīšanā iestādei kā finansējuma saņēmējai);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tiesību normas vārdus "izņemot gadījumu, ja pašvaldības īpašums uz normatīvā akta, līguma vai pašvaldības lēmuma pamata ir nodots pārvaldīšanā iestādei kā finansējuma saņēmējai", jo atbilstoši noteikumu projekta 6.3. apakšpunktam projekta iesniedzējs ir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projekta iesniedzējs ir pašvaldība, tiešās pārvaldes iestāde, tās padotības iestāde vai cita valsts pārvaldes iestāde, kā arī valsts kapitālsabiedrība vai publiski privātā kapitālsabiedrība, kas pilda deleģētos pārvaldes uzdevumus, konkursa ietvaros projekta iesniedzējam pieejamais finansējums tiek piešķirts, lai nodrošinātu pārvaldes funkciju un pārvaldes uzdevumu, tostarp pašvaldības autonomo funkciju, īstenošanu. Konkursa ietvaros nodrošina, ka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aktivitāšu ietvaros veiktos ieguldījumus vismaz 80 % apmērā no tās gada jaudas platības, laika vai finanšu izteiksmē izmanto pārvaldes funkciju un pārvaldes uzdevumu, tostarp pašvaldības autonomo funkciju, nodrošināšanai. Ir pieļaujama papildinoša saimnieciskā darbība līdz 20 % apmērā no infrastruktūras gada jaudas platības, laika vai finanšu izteiksmē un papildpakalpojumu sniegšana. Ar papildinošu saimniecisko darbību saprot darbības, kas ir tieši saistītas ar infrastruktūras ekspluatāciju un tai nepieciešamas vai nesaraujami saistītas ar infrastruktūras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tiesību normu, jo projekta finansējuma mērķis nav nodrošināt valsts pārvaldes funkciju īstenošanu, bet gan veicināt siltumnīcefekta gāzu emisiju samazināšanu un energoefektivitātes uzlabošanu. Vienlaikus vēršam uzmanību, ka ar valsts pārvaldes funkciju saprot arī pašvaldības autonomo funkciju, savukārt ar valsts pārvaldes uzdevumu saprot arī no pašvaldības autonomās funkcijas izrietošu pārvaldes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saules elektrostacija, ietverot saules paneļus un invertoru, ar pieslēgumu kopējam elektroapgādes tīklam vai bez šāda pieslēguma;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2024/1275 par ēku energosniegumu (turpmāk – Direktīva 2024/1275 ) 10.panta 3. punkta b) apakšpunkta prasības paredz jaunus pienākumus esošām publiskām ēkām piemērotu saules enerģijas iekārtu izvietošanai un noteikumu projekta 21.1.3. un 21.1.1.apakšpunktā minētās atbalstāmās aktivitātes var veicināt minētās direktīvas prasības izpildi, kur minētās direktīvas prasības jāpārņem līdz 2026. gada 29. maijam un jaunie pienākumi stāsies spēkā jau noteikumu projektā ietverto projektu pēcuzraudzības periodā, vienlaikus noteikumu projektā tomēr nav noteikti vai definēti nosacījumi uzstādāmo sistēmu minimālajai vai maksimālajai jaudai un citiem apstākļiem, lai būtu iespējams konstatēt, vai uzstādāmās saules sistēmas ir piemērotas konkrētajām projektu ēkām. Ņemot vērā, ka nebūtu racionāli par vienām un tām pašām atbalstāmajām darbībām šo projektu pēcuzraudzības periodā veikt atkārtotas investīcijas (gadījumā, ja ar šo investīciju projektu netiks nodrošināta pilnīga atbilstība Direktīvas 2024/1275 10.panta prasībām), lai no tā izvairītos, lūdzam papildināt noteikumu projekta anotāciju ar skaidrojumu par investīciju atbilstību Direktīvas 2024/1275 10.panta prasībām, ja nepieciešams, papildinot noteikumu projektu ar detalizētākām prasībām saules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Garkājis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Projekta iesnieguma vērtēšana un lēmuma pieņemšana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10.panta otrā daļa noteic, ievērojot labas pārvaldības principu, iestāde pēc savas iniciatīvas nodrošina piekļuvi noteikta veida vispārpieejamai informācijai. Savukārt, likuma 10.panta (21) daļa noteic, ka vispārpieejamai informācijai, ko ievieto internetā, iestāde pēc savas iniciatīvas,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noteikumu projektu papildināt ar informāciju, ka konkursa rezultāts t.sk. informācija par uzvarētāju, tā iesniegto un atbalstīto aktivitāti, un tai piešķirto finansējumu, tiek publicēts atvērto datu veidā Latvijas Atvērto datu portālā data.gov.lv.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pielikumā ir noteikts CO</w:t>
            </w:r>
            <w:r w:rsidR="00000000" w:rsidRPr="00000000" w:rsidDel="00000000">
              <w:rPr>
                <w:vertAlign w:val="subscript"/>
                <w:rtl w:val="0"/>
              </w:rPr>
              <w:t xml:space="preserve">2</w:t>
            </w:r>
            <w:r w:rsidR="00000000" w:rsidRPr="00000000" w:rsidDel="00000000">
              <w:rPr>
                <w:rtl w:val="0"/>
              </w:rPr>
              <w:t xml:space="preserve"> emisijas samazinājuma gadā aprēķins, kur noteikts, ka CO</w:t>
            </w:r>
            <w:r w:rsidR="00000000" w:rsidRPr="00000000" w:rsidDel="00000000">
              <w:rPr>
                <w:vertAlign w:val="subscript"/>
                <w:rtl w:val="0"/>
              </w:rPr>
              <w:t xml:space="preserve">2</w:t>
            </w:r>
            <w:r w:rsidR="00000000" w:rsidRPr="00000000" w:rsidDel="00000000">
              <w:rPr>
                <w:rtl w:val="0"/>
              </w:rPr>
              <w:t xml:space="preserve"> emisijas ietaupījumu, kas iegūts aizstājot siltumenerģiju, nosaka atbilstoši CO</w:t>
            </w:r>
            <w:r w:rsidR="00000000" w:rsidRPr="00000000" w:rsidDel="00000000">
              <w:rPr>
                <w:vertAlign w:val="subscript"/>
                <w:rtl w:val="0"/>
              </w:rPr>
              <w:t xml:space="preserve">2</w:t>
            </w:r>
            <w:r w:rsidR="00000000" w:rsidRPr="00000000" w:rsidDel="00000000">
              <w:rPr>
                <w:rtl w:val="0"/>
              </w:rPr>
              <w:t xml:space="preserve"> emisijas faktoram – 0,264 kgCO</w:t>
            </w:r>
            <w:r w:rsidR="00000000" w:rsidRPr="00000000" w:rsidDel="00000000">
              <w:rPr>
                <w:vertAlign w:val="subscript"/>
                <w:rtl w:val="0"/>
              </w:rPr>
              <w:t xml:space="preserve">2</w:t>
            </w:r>
            <w:r w:rsidR="00000000" w:rsidRPr="00000000" w:rsidDel="00000000">
              <w:rPr>
                <w:rtl w:val="0"/>
              </w:rPr>
              <w:t xml:space="preserve">/kWh, to piemērojot visas uzstādāmās sistēmas saražojamai siltumenerģijai, savukārt izmaksu attiecināmības nosacījumos noteikumu projekta 25.3. apakšpunktā attiecībā uz siltumenerģijas ražošanas iekārtām ir pieļaujams ļoti plašs iespējamo situāciju definējums - plānota daļēja vai pilnīga atteikšanās no esošu elektrisko sildītāju, ūdens sildītāju un radiatoru izmantošanas siltumenerģijas ražošanai vai esoša fosilos energoresursus izmantojoša apkures katla izmantošanas. Vēršam uzmanību, ka, ņemot vērā plašos izmaksu attiecināmības nosacījumus, nav korekti aprēķinā iekļaut, ka pilnīgi visa atjaunīgo energoresursu iekārtu saražotā siltumenerģija būs aizstājusi siltumenerģiju, kas saražota no fosilajiem kurināmiem bez koģenerācijas</w:t>
            </w:r>
            <w:r w:rsidR="00000000" w:rsidRPr="00000000" w:rsidDel="00000000">
              <w:rPr>
                <w:vertAlign w:val="superscript"/>
                <w:rtl w:val="0"/>
              </w:rPr>
              <w:t xml:space="preserve">1</w:t>
            </w:r>
            <w:r w:rsidR="00000000" w:rsidRPr="00000000" w:rsidDel="00000000">
              <w:rPr>
                <w:rtl w:val="0"/>
              </w:rPr>
              <w:t xml:space="preserve"> un aprēķinos būtu nepieciešams ņemt vērā faktisko objektu saražotās/izmantotās (aizstājamās) enerģijas daudzumu un attiecīgo enerģijas resursa CO</w:t>
            </w:r>
            <w:r w:rsidR="00000000" w:rsidRPr="00000000" w:rsidDel="00000000">
              <w:rPr>
                <w:vertAlign w:val="subscript"/>
                <w:rtl w:val="0"/>
              </w:rPr>
              <w:t xml:space="preserve">2</w:t>
            </w:r>
            <w:r w:rsidR="00000000" w:rsidRPr="00000000" w:rsidDel="00000000">
              <w:rPr>
                <w:rtl w:val="0"/>
              </w:rPr>
              <w:t xml:space="preserve"> emisijas faktoru, kur gadījumos, ja tiks sagatavota noteikumu projekta 24.11 apakšpunktā minētā dokumentācija (energosertifikāts), CO</w:t>
            </w:r>
            <w:r w:rsidR="00000000" w:rsidRPr="00000000" w:rsidDel="00000000">
              <w:rPr>
                <w:vertAlign w:val="subscript"/>
                <w:rtl w:val="0"/>
              </w:rPr>
              <w:t xml:space="preserve">2</w:t>
            </w:r>
            <w:r w:rsidR="00000000" w:rsidRPr="00000000" w:rsidDel="00000000">
              <w:rPr>
                <w:rtl w:val="0"/>
              </w:rPr>
              <w:t xml:space="preserve"> emisiju aprēķins un arī tā ietaupījums nosakāms, izmantojot atšķirīgu aprēķina metodoloģiju. Lūdzam 4. pielikumā, pārskatīt izmantoto aprēķina metodi un faktorus un šo metodi piemērot tikai gadījumos, ja projekta īstenošanai nav nepieciešams izstrādāt citos normatīvajos aktos noteiktos dokumentus ar tajos iekļaujamu atšķirīgu CO</w:t>
            </w:r>
            <w:r w:rsidR="00000000" w:rsidRPr="00000000" w:rsidDel="00000000">
              <w:rPr>
                <w:vertAlign w:val="subscript"/>
                <w:rtl w:val="0"/>
              </w:rPr>
              <w:t xml:space="preserve">2</w:t>
            </w:r>
            <w:r w:rsidR="00000000" w:rsidRPr="00000000" w:rsidDel="00000000">
              <w:rPr>
                <w:rtl w:val="0"/>
              </w:rPr>
              <w:t xml:space="preserve"> emisiju novērtējumu. Vienkāršošanas nolūkos, lai novērstu neatbilstošu un nesamērīgu CO</w:t>
            </w:r>
            <w:r w:rsidR="00000000" w:rsidRPr="00000000" w:rsidDel="00000000">
              <w:rPr>
                <w:vertAlign w:val="subscript"/>
                <w:rtl w:val="0"/>
              </w:rPr>
              <w:t xml:space="preserve">2</w:t>
            </w:r>
            <w:r w:rsidR="00000000" w:rsidRPr="00000000" w:rsidDel="00000000">
              <w:rPr>
                <w:rtl w:val="0"/>
              </w:rPr>
              <w:t xml:space="preserve"> emisijas ietaupījumu projektos norādīšanu, CO</w:t>
            </w:r>
            <w:r w:rsidR="00000000" w:rsidRPr="00000000" w:rsidDel="00000000">
              <w:rPr>
                <w:vertAlign w:val="subscript"/>
                <w:rtl w:val="0"/>
              </w:rPr>
              <w:t xml:space="preserve">2</w:t>
            </w:r>
            <w:r w:rsidR="00000000" w:rsidRPr="00000000" w:rsidDel="00000000">
              <w:rPr>
                <w:rtl w:val="0"/>
              </w:rPr>
              <w:t xml:space="preserve"> emisijas faktora – 0,264 kgCO</w:t>
            </w:r>
            <w:r w:rsidR="00000000" w:rsidRPr="00000000" w:rsidDel="00000000">
              <w:rPr>
                <w:vertAlign w:val="subscript"/>
                <w:rtl w:val="0"/>
              </w:rPr>
              <w:t xml:space="preserve">2</w:t>
            </w:r>
            <w:r w:rsidR="00000000" w:rsidRPr="00000000" w:rsidDel="00000000">
              <w:rPr>
                <w:rtl w:val="0"/>
              </w:rPr>
              <w:t xml:space="preserve">/kWh vietā lūdzam noteikt, piemēram, vidējās Latvijā izmantotās siltumenerģijas CO</w:t>
            </w:r>
            <w:r w:rsidR="00000000" w:rsidRPr="00000000" w:rsidDel="00000000">
              <w:rPr>
                <w:vertAlign w:val="subscript"/>
                <w:rtl w:val="0"/>
              </w:rPr>
              <w:t xml:space="preserve">2</w:t>
            </w:r>
            <w:r w:rsidR="00000000" w:rsidRPr="00000000" w:rsidDel="00000000">
              <w:rPr>
                <w:rtl w:val="0"/>
              </w:rPr>
              <w:t xml:space="preserve"> emisijas faktora vērtību, piemēram, balstoties uz Latvijas energobilanci, ja tiek saglabāts šobrīd noteikumu projektā iekļautais vienkāršotais CO</w:t>
            </w:r>
            <w:r w:rsidR="00000000" w:rsidRPr="00000000" w:rsidDel="00000000">
              <w:rPr>
                <w:vertAlign w:val="subscript"/>
                <w:rtl w:val="0"/>
              </w:rPr>
              <w:t xml:space="preserve">2</w:t>
            </w:r>
            <w:r w:rsidR="00000000" w:rsidRPr="00000000" w:rsidDel="00000000">
              <w:rPr>
                <w:rtl w:val="0"/>
              </w:rPr>
              <w:t xml:space="preserve"> emisijas samazinājuma gadā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Atbilstoši 2021. gada 8. aprīļa Ministru kabineta noteikumu Nr. 222 “Ēku energoefektivitātes aprēķina metodes un ēku energosertifikācijas noteikumi” 6.pielikuma 11. punktā minētais oglekļa dioksīda (CO</w:t>
            </w:r>
            <w:r w:rsidR="00000000" w:rsidRPr="00000000" w:rsidDel="00000000">
              <w:rPr>
                <w:vertAlign w:val="subscript"/>
                <w:rtl w:val="0"/>
              </w:rPr>
              <w:t xml:space="preserve">2</w:t>
            </w:r>
            <w:r w:rsidR="00000000" w:rsidRPr="00000000" w:rsidDel="00000000">
              <w:rPr>
                <w:rtl w:val="0"/>
              </w:rPr>
              <w:t xml:space="preserve">) emisijas faktors.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Garkājis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14.10.2025.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14.10.2025.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