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Projektiem, kuru finansējuma saņēmēji nav tiešās pārvaldes iestādes vai nozaru ministrijas pārraudzībā esošas valsts kapitālsabiedrības, nozaru ministriju atbildībā esošās funkcijas tiek izpildītas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2.1.2.1.i. investīcijas “Pašvaldību pakalpojumu digitālā transformācija un pašvaldību atbalsta procesu modernizācija un centralizācija, t.sk. sadarbībā ar valsts pārvaldes institūcijām” ietvaros, kur t.sk. kā finansējuma saņēmējs ir paredzēta arī LM, nozares ministrijas funkcijas pilda VARAM kā IKT pārvaldības funkciju nodrošinātājs un attiecīgi veic tos pienākumus, kas noteikti MK noteikumu projekta 16.punktā. Kā alternatīvu risinājumu saskatām, ka minētās funkcijas attiecībā uz tiem projektiem, kuru finansējuma saņēmēji ir ārpus VARAM resora, nodrošina CFLA. Vēlamies vērst uzmanību, ka minētā investīcija neatbilst LM AF plānā noteiktajai kompetencei, tāpat arī LM kā nozares ministrijai nav nepieciešamo IKT zināšanu un cilvēkresursu, lai gūtu pārliecību par investīcijas ietvaros sasniedzamajiem rezultātiem un to pamatojošās dokumentācijas ticamību.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Gulbe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