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apgūstamas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Darba devējs, Valsts probācijas dienests vai iestāde, kura īsteno kompetences pilnveides programmu vai darba devēja organizētās mācības, centrā iesniedz iesniegumu, norādot pasniedzēju vārdu, uzvārdu, kontaktinformāciju, izglītību un darba pieredzi par attiecīgās mācību programmas tēmu. Pēc iesnieguma saņemšanas centrs saskaņo pasniedzēju sarakstu, iekļaujot tajā pasniedzēja vārdu, uzvārdu un kontaktinformāciju, uzdod darba devējam, Valsts probācijas dienestam vai iestādei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Datu regulas 5. panta 1. punkta a) apakšpunktā norādīto godprātības un pārredzamības principu, izsakām priekšlikumu papildināt noteikumu projekta 18. punktu, norādot, ka Centrs glabā pasniedzēju sarakstu, kā arī norādīt tā glabāšanas termiņu un anotācijā pamatot glabāšanas termiņa izvēli.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pateicas par pārskatāmi sagatavotu informāciju anotācijas 8.1.13 apakšpunktā attiecībā uz datu apstrādes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27.02.2024.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27.02.2024.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Atzinumi_23-TA-2453.docx</dc:title>
</cp:coreProperties>
</file>

<file path=docProps/custom.xml><?xml version="1.0" encoding="utf-8"?>
<Properties xmlns="http://schemas.openxmlformats.org/officeDocument/2006/custom-properties" xmlns:vt="http://schemas.openxmlformats.org/officeDocument/2006/docPropsVTypes"/>
</file>