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Cēsu novada pašvaldībai atsavināt nekustamo īpašumu Kovārņu ielā 24, Cēsīs, Cēsu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(Cēsu novada domes lēmums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Cēsu novada pašvaldībai atsavināt nekustamo īpašumu Kovārņu ielā 24, Cēsīs, Cēsu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Kovārņu ielā 24, Cēsīs, Cēsu novadā, pašvaldībai nodots ar Ministru kabineta 2011.gada 19.oktobra rīkojumu Nr.535 “Par Cēsu Profesionālās vidusskolas reorganizāciju” (turpmāk - MK rīkojums Nr.535), kura 6.punktā noteikts uzdevums pašvaldībai šā rīkojuma 5.punktā minētos nekustamos īpašumus, tai skaitā nekustamo īpašumu Kovārņu ielā 24, Cēsīs, Cēsu novadā, bez atlīdzības nodot valstij, ja tie vairs netiek izmantoti pašvaldības autonomo funkciju īstenošanai saskaņā ar likuma "Par pašvaldībām" 15.panta pirmo daļu, minētais nekustamais īpašums primāri būtu nododams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42.panta 2.</w:t>
            </w:r>
            <w:r w:rsidR="00000000" w:rsidRPr="00000000" w:rsidDel="00000000">
              <w:rPr>
                <w:vertAlign w:val="superscript"/>
                <w:rtl w:val="0"/>
              </w:rPr>
              <w:t xml:space="preserve">4</w:t>
            </w:r>
            <w:r w:rsidR="00000000" w:rsidRPr="00000000" w:rsidDel="00000000">
              <w:rPr>
                <w:rtl w:val="0"/>
              </w:rPr>
              <w:t xml:space="preserve"> daļu, ja valsts nodotais nekustamais īpašums ir kļuvis nepiemērots attiecīgās funkcijas vai deleģētā pārvaldes uzdevuma veikšanai, bet funkcija vai deleģētais pārvaldes uzdevums tiek saglabāts un īpašums nav nepieciešams citai publiskai personai vai tās iestādei, Ministru kabinets </w:t>
            </w:r>
            <w:r w:rsidR="00000000" w:rsidRPr="00000000" w:rsidDel="00000000">
              <w:rPr>
                <w:u w:val="single"/>
                <w:rtl w:val="0"/>
              </w:rPr>
              <w:t xml:space="preserve">pēc motivēta atvasinātas publiskas personas priekšlikuma </w:t>
            </w:r>
            <w:r w:rsidR="00000000" w:rsidRPr="00000000" w:rsidDel="00000000">
              <w:rPr>
                <w:rtl w:val="0"/>
              </w:rPr>
              <w:t xml:space="preserve">ar rīkojumu var atļaut šādu nekustamo īpašumu atsavināt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rīkojuma projektā un anotācijā iekļautais pamatojums, lai ļautu pašvaldībai nekustamo īpašumu atsavināt saskaņā ar Atsavināšanas likuma 42. panta 2.</w:t>
            </w:r>
            <w:r w:rsidR="00000000" w:rsidRPr="00000000" w:rsidDel="00000000">
              <w:rPr>
                <w:vertAlign w:val="superscript"/>
                <w:rtl w:val="0"/>
              </w:rPr>
              <w:t xml:space="preserve">4</w:t>
            </w:r>
            <w:r w:rsidR="00000000" w:rsidRPr="00000000" w:rsidDel="00000000">
              <w:rPr>
                <w:rtl w:val="0"/>
              </w:rPr>
              <w:t xml:space="preserve"> daļu ir nepietiekošs, lai to varētu uzskatīt par motivētu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ja minētais nekustamais īpašums nav nepieciešams  valsts funkciju īstenošanai vai deleģēto valsts pārvaldes uzdevumu veikšanai, arī valsts to var atsavināt, pārdodot.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minēto, lūdzam papildināt anotāciju ar detalizētu skaidrojumu un pamatojumu, kādēļ nekustamais īpašums netiek nodots atpakaļ valstij, kā to paredz MK rīkojuma Nr.535 6.punkts, un lūdzam anotācijā ietvert izvērstu skaidrojumu par nekustamā īpašuma pārdošanas nepieciešamību un par to, kādēļ Ministru kabinetam būtu jāļauj tieši pašvaldībai nekustamo īpašumu pārdot izsolē, ņemot vērā, ka pārņemot to atpakaļ valstij, tas var tikt pārdots identiskā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 (Inga Akmentiņa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pēc nekustamā īpašuma atsavināšanas iesniegt Ministru kabinetā rīkojuma projektu par apropriācijas palielināšanu, nosakot, kādā apjomā, kādam mērķim un kura īpašuma un ar to saistītās infrastruktūras attīstībai ir piešķirami pēc atsavināšanas iegūtie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7.punktu piedāvātajā redakcijā, ievērojot, ka ne Publiskas personas mantas atsavināšanas likums, ne Likums par budžetu un finanšu vadību, ne likums “Par valsts budžetu 2023. gadam un budžeta ietvaru 2023., 2024. un 2025. gadam” neparedz deleģējumu apropriācijas palielināšanai saistībā ar nekustamā īpašuma atsavināšanas rezultātā iegūtajiem līdzekļiem rīkojumā projektā paredzētajam gadījumam. Attiecīgi lūdzam precizēt un attiecīgi arī precizēt anotācijas 1.3.punktā (pēdējā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 panta 2.</w:t>
            </w:r>
            <w:r w:rsidR="00000000" w:rsidRPr="00000000" w:rsidDel="00000000">
              <w:rPr>
                <w:vertAlign w:val="superscript"/>
                <w:rtl w:val="0"/>
              </w:rPr>
              <w:t xml:space="preserve">4 </w:t>
            </w:r>
            <w:r w:rsidR="00000000" w:rsidRPr="00000000" w:rsidDel="00000000">
              <w:rPr>
                <w:rtl w:val="0"/>
              </w:rPr>
              <w:t xml:space="preserve">daļā noteikts, ka Ministru kabineta rīkojumā nosaka, kādā apjomā, kādam mērķim un kura nekustamā īpašuma un ar to saistītās infrastruktūras attīstībai atsavināšanas rezultātā iegūtie līdzekļi ir piešķirami tikai gadījumā, ja atsavināšanas rezultātā iegūtie līdzekļi vai to daļa pēc faktisko atsavināšanas izdevumu segšanas ieskaitāmi atvasinātas publiskas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proti, ka ir sagatavots Ministru kabinetā rīkojuma projekts par atļauju Pašvaldībai atsavināt nekustamo īpašumu,</w:t>
            </w:r>
            <w:r w:rsidR="00000000" w:rsidRPr="00000000" w:rsidDel="00000000">
              <w:rPr>
                <w:b w:val="1"/>
                <w:rtl w:val="0"/>
              </w:rPr>
              <w:t xml:space="preserve"> </w:t>
            </w:r>
            <w:r w:rsidR="00000000" w:rsidRPr="00000000" w:rsidDel="00000000">
              <w:rPr>
                <w:rtl w:val="0"/>
              </w:rPr>
              <w:t xml:space="preserve">lai to turpmāk varētu izmantot īres namu būvniecībai vai labsajūtu un veselības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atsavināms Publiskas personas mantas atsavināšanas likuma kārtībā- tātad izsolē, kurā piedalīsies jebkura fiziska vai juridiska persona, lūdzam skaidrot, kā pašvaldība plāno nodrošināt, ka nekustamais īpašums, pēc tā pārdošanas, tiks izmantots īres namu būvniecībai vai labsajūtu un veselības projekta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Cēsu novada pašvaldībai nodot nekustamo īpašumu pircējam 30 dienu laikā no pirkuma līguma noslēgšanas dienas, sastādot attiecīgu nodošanas un pieņemšanas aktu un nodrošinot jaunās īpašuma tiesības nostiprināšanu zemesgrāmatā uz pircēja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6.punktā cita starpā paredzēts Cēsu novada pašvaldībai nodrošināt jaunās īpašuma tiesības nostiprināšanu zemesgrāmatā uz pircēja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kāda veidā pašvaldība nodrošinās pircēja (jaunā īpašnieka) īpašumtiesību nostiprināšanu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 (Inga Akmentiņa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ar MK rīkojumu Nr.535 pašvaldības īpašumā tika nodots </w:t>
            </w:r>
            <w:r w:rsidR="00000000" w:rsidRPr="00000000" w:rsidDel="00000000">
              <w:rPr>
                <w:u w:val="single"/>
                <w:rtl w:val="0"/>
              </w:rPr>
              <w:t xml:space="preserve">valstij piekrītošais nekustamais īpašums </w:t>
            </w:r>
            <w:r w:rsidR="00000000" w:rsidRPr="00000000" w:rsidDel="00000000">
              <w:rPr>
                <w:rtl w:val="0"/>
              </w:rPr>
              <w:t xml:space="preserve">Kovārņu ielā 24, Cēsīs, Cēsu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paskaidrojošajos dokumentos pievienotajam zemesgrāmatas nodalījuma norakstam nekustamā īpašuma īpašumtiesības MK rīkojuma Nr.535 pieņemšanas brīdī zemesgrāmatā bija reģistrēts uz valsts vārda Izglītības un zinātnes ministrijas personā (valsts īpašumtiesības nostiprinātas ar 2003.gada 12.jūnija zemesgrāmatas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 (Inga Akmentiņa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ka “Rīkojuma projekta 7.punkts paredz, ka Vides aizsardzības un reģionālās attīstības ministrijai pēc nekustamā īpašuma atsavināšanas ir jāiesniedz Ministru kabinetā rīkojuma projekts par apropriācijas palielināšanu, nosakot, kādā apjomā, kādam mērķim un kura īpašuma un ar to saistītās infrastruktūras attīstībai ir piešķirami pēc atsavināšanas iegūtie līdzekļi. Pašvaldība ir norādījusi, ka šie līdzekļi tiks novirzīti valsts dibinātai Izglītības un zinātnes ministrijas pakļautībā esošajai izglītības iestādei Vidzemes Tehnoloģiju un dizaina tehnikums”. Ja rīkojuma projekta 7.punkts netiks svītrots (lūdzam skatīt kontekstā ar Finanšu ministrijas 2.iebildumu), aicinām papildināt anotāciju ar informāciju, ka, veicot šo apropriācijas pārdali, tiks veikta analīze arī komercdarbības atbalsta kontroles kontekstā un, ja nepieciešams, tiks piemērots atbilstošs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30.06.2023.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30.06.2023.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Atzinumi_23-TA-1335.docx</dc:title>
</cp:coreProperties>
</file>

<file path=docProps/custom.xml><?xml version="1.0" encoding="utf-8"?>
<Properties xmlns="http://schemas.openxmlformats.org/officeDocument/2006/custom-properties" xmlns:vt="http://schemas.openxmlformats.org/officeDocument/2006/docPropsVTypes"/>
</file>