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darbības kārtības noteikumi un daudzgadu darbības programma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16.02.2023.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16.02.2023.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