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799 "Licencētās makšķerēšanas, vēžošanas un zemūdens medību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Attiecīgās pašvaldības saistošo noteikumu darbību pirms termiņa pašvaldība var pārtraukt ne agrāk kā ar nākamo gadu vai nākamo sezonu, pieņemot jaunus saistošos noteikumus par esošo noteikumu atzīšanu par spēku zaudējušiem,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pašvaldības saistošie noteikumi ir ārējs normatīvais akts, kas var tikt apstiprināts, apturēts, stāties spēkā, grozīts un zaudēt spēku likumā noteiktajā kārtībā. Citiem vārdiem, saistošo noteikumu darbību nepārtrauc. Norādām, ka Pašvaldību likums regulē pašvaldības normatīvo aktu jautājumu (V nodaļa) un saistošo noteikumu darbības apturēšanu (66. pants), Oficiālo publikāciju un tiesiskās informācijas likums regulē tiesību aktu un oficiālo paziņojumu izsludināšanu, publicēšanu, spēkā esamību, savukārt Ministru kabineta 2009. gada 3. februāra noteikumi Nr.108 “Normatīvo aktu projektu sagatavošanas noteikumi” nosaka svarīgākās juridiskās tehnikas prasības, kuras tiešās pārvaldes iestādes, atvasinātas publiskas personas un pastarpinātās pārvaldes iestādes ievēro, sagatavojot normatīvo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nav pamata uzskatīt, ka Zvejniecības likuma 13. panta otrās daļas 4. punkts dod tiesības Ministru kabinetam noteikt gadījumus, kad ir grozāmi vai atzīstami par spēku zaudējušiem saistošie noteikumi par licencēto makšķerēšanu, vēžošanu vai zemūdens medībām. Pašvaldības saistošo noteikumu grozīšana un to atzīšana par spēku zaudējušiem ir pašvaldības atbildība un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11.08.2026.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11.08.2026.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Atzinumi_25-TA-471.docx</dc:title>
</cp:coreProperties>
</file>

<file path=docProps/custom.xml><?xml version="1.0" encoding="utf-8"?>
<Properties xmlns="http://schemas.openxmlformats.org/officeDocument/2006/custom-properties" xmlns:vt="http://schemas.openxmlformats.org/officeDocument/2006/docPropsVTypes"/>
</file>