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iebilst pret rīcības plāna projektu “Cilvēkkapitāla attīstības stratēģija 2024.–2027.gadam” (24-TA-273), uzturot iepriekš jau vairākkārt izteiktos iebildumus, kas aizvien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sagaidīt reālas pārmaiņas, darot tās pašas lietas. Stratēģijas projekts neietver pasākumus, lai pēc būtības risinātu Valsts kontroles lietderības revīzijā Nr. 2.4.1–28/2022 “Vai pieaugušo izglītība sasniedz tai izvirzītos mērķus un atbilst darba tirgus vajadzībām?” konstatētās problēmas un ieviestu sniegtos ieteikumus, proti, (1) risinātu institucionālo aspektu saistībā ar Nodarbinātības valsts aģentūras un Valsts izglītības attīstības aģentūras funkciju dublēšanos; (2) mainītu līdzšinējo pieeju, kas nav bijusi efektīva, un piedāvātu (jaunus) praktiskos risinājumus plānoto 50 000 mazkvalificēto darbinieku iesaistīšanai pieaugušo izglītībā; (3) pēc būtības pārskatītu pašvaldību koordinatoru lomu, ne tikai turpinot ieguldīt ierobežotos finanšu līdzekļus izglītojoša rakstura aktivitātēs, bet nosakot arī konkrētus sasniedzamos rezultātus, kas tādējādi apliecinātu šo finanšu ieguldījumu praktisko atdevi un pašvaldību atbildību kopīgo valsts mērķu sasniegšanā pieaugušo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arī Ministru kabinets 07.05.2024. sēdē (protokols Nr.19, 25.§) uzdeva Cilvēkkapitāla attīstības padomei un Ekonomikas ministrijai līdz 15.08.2024. sniegt priekšlikumus konsolidētam (vienotam) institucionālajam pārvaldības risinājumam, samazinot administratīvo slogu un nodrošinot publisko resursu lietderīgu izmantošanu. Lai gan šis termiņš jau ir pienācis, stratēģijas projektā nav ietverti šā uzdevuma izpildes rezultāti.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Āboliņa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01.08.2024.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01.08.2024.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