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Tiešo maksājumu piešķiršanas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un administrēšanas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nosaukumā minēta administrēšanas kārtība, taču tā nav minēta ne likumā noteiktajā pilnvarojumā, ne projekta 1. punktā. Attiecīgi lūdzam precizēt nosaukumu vai pilnvarojuma norādi un projekta 1.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un administrēšanas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kategoriju apstrādi. Netiek apšaubīts, ka projektā minētā informācija ir nepieciešama attiecīgu funkciju veikšanai, taču, lai būtu izprotams attiecīgās informācijas (tostarp personas datu) apstrādes tiesiskais pamats, lūdzam papildināt projektu vai anotāciju ar skaidrojumu par to, kādas personas datu kategorijas paredzēts apstrādāt, kādam mērķim tās paredzēts apstrādāt un cik ilgi personas dati tiks glabāti.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un administrēšanas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ņemot vērā projekta apjomu un detalizācijas pakāpi, lūdzam izvērtēt nepieciešamību projektā ietvert normas (sk., piemēram, 302. punktu), kas regulē iestāžu procesuālās darbības, lai izpildītu noteiktus pienākumus. Paužam bažas, ka šāda pieeja veicina normatīvismu.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Noteikumi nosaka kārtību, kādā: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 108 "Normatīvo aktu projektu sagatavošanas noteikumi" (turpmāk - noteikumi Nr. 108) 100.2. apakšpunktu noteikumu projekta pirmajā punktā pārraksta likumā noteikto pilnvarojumu Ministru kabinetam. Norādām, ka, piemēram, projekta 1.3. apakšpunktā iztrūkst norāde uz ne tikai piemērošanu, bet arī noteikšanu.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nepārvaramu varu vai ārkārtas apstākļiem uzskatāmi </w:t>
            </w:r>
            <w:r w:rsidR="00000000" w:rsidRPr="00000000" w:rsidDel="00000000">
              <w:rPr>
                <w:rtl w:val="0"/>
              </w:rPr>
              <w:t xml:space="preserve">regulas 2021/2116 3. panta 1. punktā</w:t>
            </w:r>
            <w:r w:rsidR="00000000" w:rsidRPr="00000000" w:rsidDel="00000000">
              <w:rPr>
                <w:rtl w:val="0"/>
              </w:rPr>
              <w:t xml:space="preserve"> noteiktie gadījumi un apstākļi, kas radušies neatkarīgi no lauksaimnieka rīcības un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projekta 3. punktā ietvertā piebilde "un apstākļi, kas radušies neatkarīgi no lauksaimnieka rīcības un lēmumiem" ir ļoti vispārīga un plaša. Attiecīgi lūdzam izvērtēt iespēju precizēt normu vai sniegt skaidrojumu par piebildes nepieciešamību un tvērumu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Tiesības lietot lauksaimniecības zemi pierāda zemes nomas līgums, patapinājuma līgums, mantojumu apliecinošs dokuments, zemes īpašnieka rakstisks apliecinājums, pašvaldības lēmums attiecībā uz pašvaldības īpašumā esošo zemi un citi dokumenti. Ja lauksaimnieks ar zemes īpašnieku ir noslēdzis mutisku vienošanos, lauksaimnieks pēc Lauku atbalsta dienesta pieprasījuma iesniedz zemes īpašnieka rakstisku apliecinājumu par šo vienošanos.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projekta 9. punktu svītrot, ņemot vērā, ka lietojuma tiesības noteic normatīvie akti, piemēram, Civillikums, kā arī ņemot vērā ietverto norādi "un citi dokumenti".  Alternatīvi lūdzam noteikt izsmeļošu dokumentu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norādām, ka 2. teikums, šķiet, dublē 1. teikumā ietverto norādi uz "zemes īpašnieka rakstisku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Atbalsttiesīgas aramzemes platība ietver agromežsaimniecības sistēmu elementus kokus, kas aug atsevišķi, grupās vai rindās, ja koku skaits uz hektāra nepārsniedz 100 vai ja koku grupu vai rindu, vai joslu aizņemtā kopējā platība nepārsniedz 500 kvadrātmetru, izņemot tos elementus, kas deklarēti regulas 2021/2115 III pielikumā noteiktā 8. LLVS standarta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Nr. 108 124., 43. un 44. punktu noteikumu projekta tekstā var lietot vārdkopu saīsinājumus, ja tas uzlabo likumprojekta teksta uztveramību un skaidrību. Saīsinājumu veido aiz saīsināmās vārdkopas, iekavās ierakstot vārdu “turpmāk – “ un attiecīgo saīsināto vārdu. Saīsinājumā abreviatūras, izņemot vispārzināmas abreviatūras, neizmanto. Vēršam uzmanību, ka projektā nekonsekventi lietots saīsinājums "LVVS", to neizveidojot, vai pilnais nosaukums. Attiecīgi, ja nepieciešams, lūdzam izveidot saīsinājumu atbilstoši noteikumiem Nr. 108 un to konsekventi lietot, vai arī konsekventi lietot pilno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minēto par saīsinājumu izveidošanu un lietošanu ievērot arī citviet projektā (sk., piemēram, 8.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Kaņepju platība ir atbalsttiesīga tiešo maksājumu saņemšanai, ja tā atbilst </w:t>
            </w:r>
            <w:r w:rsidR="00000000" w:rsidRPr="00000000" w:rsidDel="00000000">
              <w:rPr>
                <w:rtl w:val="0"/>
              </w:rPr>
              <w:t xml:space="preserve">regulas 2021/2115 4. panta 4. punkta otrajā daļā </w:t>
            </w:r>
            <w:r w:rsidR="00000000" w:rsidRPr="00000000" w:rsidDel="00000000">
              <w:rPr>
                <w:rtl w:val="0"/>
              </w:rPr>
              <w:t xml:space="preserve"> un </w:t>
            </w:r>
            <w:r w:rsidR="00000000" w:rsidRPr="00000000" w:rsidDel="00000000">
              <w:rPr>
                <w:rtl w:val="0"/>
              </w:rPr>
              <w:t xml:space="preserve">regulas 2022/126 2. pantā </w:t>
            </w:r>
            <w:r w:rsidR="00000000" w:rsidRPr="00000000" w:rsidDel="00000000">
              <w:rPr>
                <w:rtl w:val="0"/>
              </w:rPr>
              <w:t xml:space="preserve"> minētajām prasībām un ir iekļauta kaņepju tetrahidrokanabinola (turpmāk – THC) monitoringā, lai noteiktu platību atbilstību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atsauci projekta 29. punktā uz Eiropas Komisijas 2022. gada 7. decembra Deleģētās regulas (ES) Nr.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 2. pantu, ņemot vērā, ka, kaut arī Eiropas Savienības regulas ir tieši piemērojamas, dažās minētās regulas 2. panta apakšvienībās ir ietvertas atsauces uz Eiropas Savienības direktīvām, un direktīvas nav tieši piemērojamas un to prasības jāpārņem nacionālajos normatīvajos aktos. Attiecīgi lūdzam izvērtēt un precizēt vai papildināt punktu, kā arī lūdzam izvērtēt citas projektā ietvertās atsauces uz regulu normām un tās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Kaņepju platība ir atbalsttiesīga tiešo maksājumu saņemšanai, ja tā atbilst </w:t>
            </w:r>
            <w:r w:rsidR="00000000" w:rsidRPr="00000000" w:rsidDel="00000000">
              <w:rPr>
                <w:rtl w:val="0"/>
              </w:rPr>
              <w:t xml:space="preserve">regulas 2021/2115 4. panta 4. punkta otrajā daļā </w:t>
            </w:r>
            <w:r w:rsidR="00000000" w:rsidRPr="00000000" w:rsidDel="00000000">
              <w:rPr>
                <w:rtl w:val="0"/>
              </w:rPr>
              <w:t xml:space="preserve"> un </w:t>
            </w:r>
            <w:r w:rsidR="00000000" w:rsidRPr="00000000" w:rsidDel="00000000">
              <w:rPr>
                <w:rtl w:val="0"/>
              </w:rPr>
              <w:t xml:space="preserve">regulas 2022/126 2. pantā </w:t>
            </w:r>
            <w:r w:rsidR="00000000" w:rsidRPr="00000000" w:rsidDel="00000000">
              <w:rPr>
                <w:rtl w:val="0"/>
              </w:rPr>
              <w:t xml:space="preserve"> minētajām prasībām un ir iekļauta kaņepju tetrahidrokanabinola (turpmāk – THC) monitoringā, lai noteiktu platību atbilstību minētajām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pirmoreiz lietojot regulu nosaukumus, tos atšifrēt un attiecīgi izveidot saīsinājumu atbilstoši noteikumu Nr. 108 43.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Par aktīvu lauksaimnieku uzskatāms tāds lauksaimnieks, kam piešķirtā tiešo maksājumu kopsumma gadā pirms atbalsta samazinājuma piemērošanas nepārsniedza 500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projekta 39. un 42. punktu novietojums nav sistēmisks, turklāt ir mazliet maldinošs. Izlasot projekta 39. punktu, var noprast, ka tas ir vienīgais nosacījums, bet tomēr 42. punktā ir vēl citi nosacījumi aktīva lauksaimnieka statusa piemērošanai. Attiecīgi lūdzam izvērtēt un skaidrāk izteikt normas, kā arī tās sasaistīt, lai būtu nepārprotami skaidrs, ka, kā anotācijā norādīts, aktīva lauksaimnieka nosacījums jāpierāda atbalsta pretendentiem, kam iepriekšējā gadā saņemtie tiešie maksājumi pārsniedza 500 euro, un atbilstību var pierādīt ar vienu no septiņiem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vismaz viena trešā daļa no kārtējā gada ģeotelpiskajā iesniegumā deklarētās saimniecības lauksaimniecības zemes iepriekšējā vai kārtējā gada 1. oktobrī ir iekļauta bioloģiskās lauksaimniecības kontroles sistēmā, ko uzrauga sertifikācijas institūcija "Vides kvalitāte" vai SIA "Sertifikācijas un testēšanas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par projekta 42.4. apakšpunktā ietverto palīgteikumu "ko uzrauga sertifikācijas institūcija "Vides kvalitāte" vai SIA "Sertifikācijas un testēšanas centrs", ņemot vērā, ka ir cits normatīvais akts, kas noteic, kas uzrauga bioloģiskās lauksaimniecības kontroles sistēmu (sk. Ministru kabineta 2009.gada 26.maija noteikumus Nr.485 "Bioloģiskās lauksaimniecības uzraudzības un kontroles kārtība"). Attiecīgi tas ir cita normatīvā akta regulēšanas priekšmets, tādēļ lūdzam precizēt projekta 42.4. apakšpunktu. </w:t>
            </w:r>
            <w:r w:rsidR="00000000" w:rsidRPr="00000000" w:rsidDel="00000000">
              <w:rPr>
                <w:rtl w:val="0"/>
              </w:rPr>
              <w:t xml:space="preserve">Līdzīgi lūdzam arī precizēt projekta 67.2.1. apakšpunktu (sk., piemēram, Meliorācijas likuma 4.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Izmaksas apliecinošs dokuments ir dokuments, kas apliecina samaksu par darījumu. Par derīgiem uzskatāmi izmaksu apliecinoši dokumenti, ja tajos kā preces vai pakalpojuma saņēmējs ir norādīts tiešo maksājumu pretendents. Izmaksu apliecinošie dokumenti var būt kases čeks, Valsts ieņēmumu dienestā reģistrēta numurēta kvīts, preču piegādes dokuments, kas noformēts saskaņā ar normatīvajiem aktiem par grāmatvedības kārtošanu, bankas konta izraksts vai bankas apstiprināts maksājuma uzdevums un citi dokumenti. Ja izmaksu vērtība ir lielāka par 30 </w:t>
            </w:r>
            <w:r w:rsidR="00000000" w:rsidRPr="00000000" w:rsidDel="00000000">
              <w:rPr>
                <w:i w:val="1"/>
                <w:rtl w:val="0"/>
              </w:rPr>
              <w:t xml:space="preserve">euro</w:t>
            </w:r>
            <w:r w:rsidR="00000000" w:rsidRPr="00000000" w:rsidDel="00000000">
              <w:rPr>
                <w:rtl w:val="0"/>
              </w:rPr>
              <w:t xml:space="preserve"> (bez pievienotā vērtības nodokļa), izmaksu apliecinošajā dokumentā norādāmi pakalpojuma saņēmēja rekvizīti.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par projekta 9. punktu, lūdzam izvērtēt iespēju svītrot projekta 52. punkta 1. un 3. teikumu, īpaši ņemot vērā norādi "un citi dokumenti". Alternatīvi lūdzam noteikt izsmeļošu dokumentu loku.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Tiešo maksājumu saņēmējs ievēro tās tiesību aktos noteiktās obligātās pārvaldības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atsauces uz normatīvajiem aktiem noteikumu projektā veido saskaņā ar noteikumu Nr. 108 3.7. apakšnodaļu. Attiecīgi lūdzam izvērtēt un precizēt projektā izveidotās atsauces (sk., piemēram, projekta 53. punktā ietverto atsauci "tiesību aktos", kas turklāt, ņemot vērā tālāko norādi uz 8. pielikumu, šķiet, ir lieka).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Ilggadīgā zālāja uzturēšana atbilstoši </w:t>
            </w:r>
            <w:r w:rsidR="00000000" w:rsidRPr="00000000" w:rsidDel="00000000">
              <w:rPr>
                <w:rtl w:val="0"/>
              </w:rPr>
              <w:t xml:space="preserve">regulas 2021/2115 III pielikumā</w:t>
            </w:r>
            <w:r w:rsidR="00000000" w:rsidRPr="00000000" w:rsidDel="00000000">
              <w:rPr>
                <w:rtl w:val="0"/>
              </w:rPr>
              <w:t xml:space="preserve"> noteiktajam 1. LLVS standartam tiek nodrošināta valsts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56. punktu, ņemot vērā, ka no normas nav saprotams, kam tieši ir paredzēts kāds pienākums saskaņā ar normu (proti, kas ko dara). Līdzīgi lūdzam pārskatīt projektu un precizēt arī citas normas (piemēram, 73.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ilggadīgā zālāja platības īpatsvaru pret lauksaimniecības zemes platību kārtējā gadā, kura aprēķināta saskaņā ar </w:t>
            </w:r>
            <w:r w:rsidR="00000000" w:rsidRPr="00000000" w:rsidDel="00000000">
              <w:rPr>
                <w:rtl w:val="0"/>
              </w:rPr>
              <w:t xml:space="preserve">regulas 2022/126 48. pantu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Vieglākas normas piemērošanas nolūkā lūdzam precizēt atsauci projekta 58.1. apakšpunktā, norādot uz konkrētu regulas 2022/126 apakšvienību.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Saskaņā ar </w:t>
            </w:r>
            <w:r w:rsidR="00000000" w:rsidRPr="00000000" w:rsidDel="00000000">
              <w:rPr>
                <w:rtl w:val="0"/>
              </w:rPr>
              <w:t xml:space="preserve">regulas 2022/126 48. panta 5. punktu</w:t>
            </w:r>
            <w:r w:rsidR="00000000" w:rsidRPr="00000000" w:rsidDel="00000000">
              <w:rPr>
                <w:rtl w:val="0"/>
              </w:rPr>
              <w:t xml:space="preserve"> platība, kas ir atkārtoti pārveidota par ilggadīgo zālāju vai izveidota kā ilggadīgais zālājs, uzskatāma par ilggadīgo zālāju no pirmās atkārtotas pārveidošanas vai izveidošanas dienas. Šo platību izmanto, lai audzētu stiebrzāles vai citus lopbarības zālaugus vismaz piecus secīgus gadus pēc tās atkārtotas pārveidošanas vai, ja šo platību jau izmanto stiebrzāļu vai cita veida lopbarības zālaugu audzēšanai, tik gadus, cik atlikuši, līdz pieciem secīgiem gadiem pēc zālāja izveides 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63. punkts vismaz daļēji dublē regulas 2022/126 48. panta 5. punktu. Norādām,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projektu, kā arī lūdzam pārskatīt projektā ietvertās normas (sk., piemēram, projekta 341. punktu), nodrošinot, ka netiek dublētas regulu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Atbilstoši </w:t>
            </w:r>
            <w:r w:rsidR="00000000" w:rsidRPr="00000000" w:rsidDel="00000000">
              <w:rPr>
                <w:rtl w:val="0"/>
              </w:rPr>
              <w:t xml:space="preserve">regulas 2021/2115 III pielikumā </w:t>
            </w:r>
            <w:r w:rsidR="00000000" w:rsidRPr="00000000" w:rsidDel="00000000">
              <w:rPr>
                <w:rtl w:val="0"/>
              </w:rPr>
              <w:t xml:space="preserve"> noteiktajam 6. LLVS standartam rudens un ziemas periodā no iepriekšējā gada 15. novembra līdz kārtējā gada 15. februārim īpaši (nitrātu) jutīgajās teritorijās (</w:t>
            </w:r>
            <w:r w:rsidR="00000000" w:rsidRPr="00000000" w:rsidDel="00000000">
              <w:rPr>
                <w:rtl w:val="0"/>
              </w:rPr>
              <w:t xml:space="preserve">9. </w:t>
            </w:r>
            <w:r w:rsidR="00000000" w:rsidRPr="00000000" w:rsidDel="00000000">
              <w:rPr>
                <w:rtl w:val="0"/>
              </w:rPr>
              <w:t xml:space="preserve">pielikums</w:t>
            </w:r>
            <w:r w:rsidR="00000000" w:rsidRPr="00000000" w:rsidDel="00000000">
              <w:rPr>
                <w:rtl w:val="0"/>
              </w:rPr>
              <w:t xml:space="preserve">) vismaz 65 procentos, Vidzemē un Latgalē (</w:t>
            </w:r>
            <w:r w:rsidR="00000000" w:rsidRPr="00000000" w:rsidDel="00000000">
              <w:rPr>
                <w:rtl w:val="0"/>
              </w:rPr>
              <w:t xml:space="preserve">10. </w:t>
            </w:r>
            <w:r w:rsidR="00000000" w:rsidRPr="00000000" w:rsidDel="00000000">
              <w:rPr>
                <w:rtl w:val="0"/>
              </w:rPr>
              <w:t xml:space="preserve">pielikums</w:t>
            </w:r>
            <w:r w:rsidR="00000000" w:rsidRPr="00000000" w:rsidDel="00000000">
              <w:rPr>
                <w:rtl w:val="0"/>
              </w:rPr>
              <w:t xml:space="preserve">) vismaz 55 procentos un pārējā Latvijas teritorijā (</w:t>
            </w:r>
            <w:r w:rsidR="00000000" w:rsidRPr="00000000" w:rsidDel="00000000">
              <w:rPr>
                <w:rtl w:val="0"/>
              </w:rPr>
              <w:t xml:space="preserve">11. </w:t>
            </w:r>
            <w:r w:rsidR="00000000" w:rsidRPr="00000000" w:rsidDel="00000000">
              <w:rPr>
                <w:rtl w:val="0"/>
              </w:rPr>
              <w:t xml:space="preserve">pielikums</w:t>
            </w:r>
            <w:r w:rsidR="00000000" w:rsidRPr="00000000" w:rsidDel="00000000">
              <w:rPr>
                <w:rtl w:val="0"/>
              </w:rPr>
              <w:t xml:space="preserve">) vismaz 60 procentos no saimniecības aramzemes un ilggadīgo stādījumu platības ir nodrošināts augsnes pārklājums, piemēram, sēti vai stādīti kultūraugi, zālaugi vai pēc kultūraugu novākšanas platība atstāta neapstrādāta. Šo prasību piemēro no 2023. gada 1. jūlija.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73., 74. un 75. punktu, 142.3. un 186.2. apakšpunktu, kā arī projekta 9., 10. un 11. pielikumu nepieciešams papildus izvērtēt un precizēt. Vēršam uzmanību, ka projektā nebūtu pieļaujama citos Ministru kabineta noteikumos esoša dažādus nosacījumus dublējoša regulējuma veidošana administratīvi teritoriālo vienību uzskaitījumam. Turklāt minētajos projekta pielikumos esošais administratīvi teritoriālo vienību uzskaitījums nav precīzs, proti, neatbilst projekta pielikumu piezīmēs norādītajos normatīvajos aktos esošajam uzskaitījumam. Ievērojot minēto, piedāvājam projekta 9., 10. un 11. pielikumu svītrot, bet atbilstošās projekta normās veidot ārējās atsauces par cita normatīvā regulējuma – par plānošanas reģionu teritorijām vai īpaši jutīgām teritorijām piemērošanu. Papildus norādām, ka projektā ir pieļaujams savs atsevišķs teritoriju uzskaitījums bez atsaucēm uz citiem normatīvajiem aktiem, bet tādā gadījumā tas būs konkrētu Ministru kabineta noteikumu speciālais regulējums noteiktām teritorijām.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Viengadīgo kultūraugu vienā un tajā pašā laukā neaudzē vairāk kā trīs gadus pēc kārtas. Kultūraugu audzēšanas secīguma uzskaiti uzsāk no 2022. gada.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tiesību sistēmā nav piemērojamas tiesību normas ar atpakaļejošu spēku. Proti, Oficiālo publikāciju un tiesiskās informācijas likuma 9. panta ceturtā daļa noteic, ka normatīvajam aktam vai tā daļai nav atpakaļejoša spēka, izņemot likumā īpaši paredzētus gadījumus. Lūdzam izvērtēt un attiecīgi precizēt projektu (piemēram, 79. punktu, 94. punktu (norāde uz 15. martu kā sākuma datumu), 154. punktu u.c.) vai sniegt pamatotu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Atbilstoši </w:t>
            </w:r>
            <w:r w:rsidR="00000000" w:rsidRPr="00000000" w:rsidDel="00000000">
              <w:rPr>
                <w:rtl w:val="0"/>
              </w:rPr>
              <w:t xml:space="preserve">regulas 2021/2115 III pielikumā</w:t>
            </w:r>
            <w:r w:rsidR="00000000" w:rsidRPr="00000000" w:rsidDel="00000000">
              <w:rPr>
                <w:rtl w:val="0"/>
              </w:rPr>
              <w:t xml:space="preserve"> noteiktajam 8.1. LLVS standartam vismaz četrus procentus no saimniecības aramzemes aizņem kāda no šādām ar ražošanu nesaistīta platībām vai elementiem: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atsauci uz riropas Parlamenta un Padomes 2021.gada 2.decembra Regulas (ES) Nr.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III pielikumā noteikto 8.1., 8.2. utt. LLVS standartu, ņemot vērā, ka regulas III pielikums neizdala šādus standartus, bet gan paredz 8. standartu.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Lauksaimnieks pēc Lauku atbalsta dienesta pieprasījuma iesniedz pierādījumu par to, ka platība, ko aizņem šo noteikumu </w:t>
            </w:r>
            <w:r w:rsidR="00000000" w:rsidRPr="00000000" w:rsidDel="00000000">
              <w:rPr>
                <w:rtl w:val="0"/>
              </w:rPr>
              <w:t xml:space="preserve">83. </w:t>
            </w:r>
            <w:r w:rsidR="00000000" w:rsidRPr="00000000" w:rsidDel="00000000">
              <w:rPr>
                <w:rtl w:val="0"/>
              </w:rPr>
              <w:t xml:space="preserve">punktā</w:t>
            </w:r>
            <w:r w:rsidR="00000000" w:rsidRPr="00000000" w:rsidDel="00000000">
              <w:rPr>
                <w:rtl w:val="0"/>
              </w:rPr>
              <w:t xml:space="preserve"> minētie ar ražošanu nesaistītie ainavas elementi, ir viņa īpašumā vai tiesiskajā valdījumā (lietošanā) pēc stāvokļa kārtējā gada 15.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kas domāts ar vārdiem "pēc stāvokļa" projekta 86. punktā (proti, vai domāts "pēc kārtējā gada 15. jūnija" vai "kārtējā gada 15. jūnijā"). Aicinām izvērtēt un precizēt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pārbaudē saimniecībā konstatē, ka ģeotelpiskajā iesniegumā deklarētā ar ražošanu nesaistītā ainavas elementa platība un veids neatbilst situācijai dabā vai nav izpildīti nosacījumi, lai to klasificētu par atbilstīgu ar ražošanu nesaistītu ainavas elementa platību, vai deklarētā platība ir lielāka par dabā uzmērīto platību, kas ģeotelpiskajā iesniegumā nav deklarēta kā ar ražošanu nesaistīta ainavas elementa platība, bet atbilst ar ražošanu nesaistīta ainavas elementa platības kritērijiem un atrodas uz lauksaimnieka ģeotelpiskajā iesniegumā deklarētās lauksaimniecības zemes, attiecīgo platību var izmantot, lai aizstātu trūkstošo ar ražošanu nesaistītā ainavas elementa platības lielumu, ja koku vai krūmu puduri, vai akmeņu kaudzes, dīķi, kā arī zeme zem dižkokiem, alejām un dižakmeņiem pārbaudes laikā ir identificējama un lauksaimnieks pierāda, ka attiecīgais ainavas elements atrodas tā īpašumā vai lietošanā.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projektā ietvertie teikumi daudzviet konstruēti ļoti sarežģīti, ar daudziem palīgteikumiem, kā rezultātā ir grūti uztverami. Attiecīgi lūdzam pārskatīt projektu un normas vienkāršot, lai tās būtu vieglāk uztveramas un saprotamas.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Saimniecības vadītājiem, grāmatvežiem, juristiem, personāla speciālistiem vai citiem nodarbinātajiem, kas nodrošina saimniecības pārvaldību vai atbalstu citu saimniecības pamatdarbības funkciju izpildei, un kas nav tieši iesaistīti lauksaimnieciskajā vai nelauksaimnieciskajā pamatdarbībā, izmaksātā darba algas, kā arī algas nodokļa, valsts sociālās apdrošināšanas obligāto iemaksu daļa ir pieskaitāma šo noteikumu </w:t>
            </w:r>
            <w:r w:rsidR="00000000" w:rsidRPr="00000000" w:rsidDel="00000000">
              <w:rPr>
                <w:rtl w:val="0"/>
              </w:rPr>
              <w:t xml:space="preserve">107. </w:t>
            </w:r>
            <w:r w:rsidR="00000000" w:rsidRPr="00000000" w:rsidDel="00000000">
              <w:rPr>
                <w:rtl w:val="0"/>
              </w:rPr>
              <w:t xml:space="preserve">punktā</w:t>
            </w:r>
            <w:r w:rsidR="00000000" w:rsidRPr="00000000" w:rsidDel="00000000">
              <w:rPr>
                <w:rtl w:val="0"/>
              </w:rPr>
              <w:t xml:space="preserve"> minētajiem atskaitījumiem. Attiecīgā daļa nosakāma atbilstoši nodarbināto darba algu, kā arī algas nodokļa, valsts sociālās apdrošināšanas obligāto iemaksu apmēra par lauksaimniecisko darbību īpatsvaram kopējā darba algu, kā arī algas nodokļa, valsts sociālās apdrošināšanas obligāto iemaksu apmērā par lauksaimniecisko un nelauksaimniecisko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110. punkta atbilstību regulas 2021/2115 17. panta 3. punktā paredzētajam regulējumam, kas noteic, ko ilgtspēju sekmējoša ienākumu pamatatbalsta summas, kura konkrētā kalendārajā gadā ir piešķirama lauksaimniekam, var atskaitīt. Vēršam uzmanību, ka norma nav norādīta anotācijas 5.sadaļas 1.tabulā. Nepieciešamības gadījumā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Ja lauksaimnieks var pamatot šo noteikumu </w:t>
            </w:r>
            <w:r w:rsidR="00000000" w:rsidRPr="00000000" w:rsidDel="00000000">
              <w:rPr>
                <w:rtl w:val="0"/>
              </w:rPr>
              <w:t xml:space="preserve">108.</w:t>
            </w:r>
            <w:r w:rsidR="00000000" w:rsidRPr="00000000" w:rsidDel="00000000">
              <w:rPr>
                <w:rtl w:val="0"/>
              </w:rPr>
              <w:t xml:space="preserve"> vai </w:t>
            </w:r>
            <w:r w:rsidR="00000000" w:rsidRPr="00000000" w:rsidDel="00000000">
              <w:rPr>
                <w:rtl w:val="0"/>
              </w:rPr>
              <w:t xml:space="preserve">109. </w:t>
            </w:r>
            <w:r w:rsidR="00000000" w:rsidRPr="00000000" w:rsidDel="00000000">
              <w:rPr>
                <w:rtl w:val="0"/>
              </w:rPr>
              <w:t xml:space="preserve">punktā</w:t>
            </w:r>
            <w:r w:rsidR="00000000" w:rsidRPr="00000000" w:rsidDel="00000000">
              <w:rPr>
                <w:rtl w:val="0"/>
              </w:rPr>
              <w:t xml:space="preserve"> minēto pasākumu neīstenošanu, tas ar lauksaimniecisko darbību saistīto algu, tostarp ar nodarbināšanu saistītos nodokļus un sociālās iemaksas, aprēķina pēc vienas no šādām metodēm: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skaidrs, kas domāts projekta 111. punktā ar "šo noteikumu 108. vai 109. punktā minēto pasākumu neīstenošanu". Proti, nav skaidrs, kas tieši netiek īstenots. Attiecīgi lūdzam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Ilgtspēju sekmējošais ienākumu pamatatbalsts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sistēmiski un secīgi izkārtot normas, nodaļas un apakšnodaļas. Piemēram, nešķiet sistēmiski, ka projekta 7. nodaļa novietota pirms 8. nodaļas (projekta 7. nodaļā regulēta ilgtspēju sekmējošā ienākumu pamatatbalsta maksājuma maksimuma noteikšana un samazinājums, 8. nodaļā - ilgtspēju sekmējošais ienākumu pamatatbalsts). Attiecīgi lūdzam izvērtēt un precizēt projektā ietverto normu novietojumu vai arī nodaļu un apakšnodaļu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Ilgtspēju sekmējošo ienākumu pamatatbalsta summu saskaņā ar </w:t>
            </w:r>
            <w:r w:rsidR="00000000" w:rsidRPr="00000000" w:rsidDel="00000000">
              <w:rPr>
                <w:rtl w:val="0"/>
              </w:rPr>
              <w:t xml:space="preserve">regulas 2021/2115 22. pantu</w:t>
            </w:r>
            <w:r w:rsidR="00000000" w:rsidRPr="00000000" w:rsidDel="00000000">
              <w:rPr>
                <w:rtl w:val="0"/>
              </w:rPr>
              <w:t xml:space="preserve"> </w:t>
            </w:r>
            <w:r w:rsidR="00000000" w:rsidRPr="00000000" w:rsidDel="00000000">
              <w:rPr>
                <w:rtl w:val="0"/>
              </w:rPr>
              <w:t xml:space="preserve">diferencē pa šādām teritoriju grupām, kurās ir līdzīgi sociālekonomiski un agronomiski apstākļi: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kā arī 5. sadaļas 1. tabulā ailē par rīcības brīvības izmantošanu izvērstāk skaidrot, kādēļ projekta 116. punktā teritorijas iedalītas tieši tā. Īpaši lūdzam skaidrot, kādēļ kā kritērijs izmantots tas, vai teritorija robežojas vai nerobežojas ar Eiropas Savienības dalībvalsti, ņemot vērā, ka regulas 2021/2115 22. panta 2. punkts norāda uz līdzīgiem sociālekonomiskiem un agronomiskiem apstākļiem. Nepieciešamības gadījumā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Ilgtspēju sekmējošo ienākumu pamatatbalsta summu saskaņā ar </w:t>
            </w:r>
            <w:r w:rsidR="00000000" w:rsidRPr="00000000" w:rsidDel="00000000">
              <w:rPr>
                <w:rtl w:val="0"/>
              </w:rPr>
              <w:t xml:space="preserve">regulas 2021/2115 22. pantu</w:t>
            </w:r>
            <w:r w:rsidR="00000000" w:rsidRPr="00000000" w:rsidDel="00000000">
              <w:rPr>
                <w:rtl w:val="0"/>
              </w:rPr>
              <w:t xml:space="preserve"> </w:t>
            </w:r>
            <w:r w:rsidR="00000000" w:rsidRPr="00000000" w:rsidDel="00000000">
              <w:rPr>
                <w:rtl w:val="0"/>
              </w:rPr>
              <w:t xml:space="preserve">diferencē pa šādām teritoriju grupām, kurās ir līdzīgi sociālekonomiski un agronomiski apstākļi: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konkrētu atsauci projekta 116. punktā uz regulas 2021/2115 22. panta apakšvienību (proti, domāts, šķiet, ir 2. punkts).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125.3. ieguvis augstāko vai vidējo profesionālo lauksaimniecības izglītību, apguvis lauksaimniecības priekšmetus 320 stundu apjomā, mācoties augstākās vai vidējās profesionālās lauksaimniecības izglītības programmā, vai apguvis lauksaimniecības zināšanu pamatkursus vismaz 160 stundu apjomā līdz 1. augustam gadā, kad pirmo reizi piesakās ienākumu papildatbalstam gados jauniem lauksaimniekiem.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un skaidrot, kāpēc atbalsta pretendentam ir nepieciešama tieši augstākā vai vidējā profesionālā lauksaimniecības izglītība, apgūstot lauksaimniecības priekšmetus vismaz 320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t.i., apgūt lauksaimniecības priekšmetus vismaz 320 stundu apjomā izslēdz vairākas augstākās vai vidējās profesionālā lauksaimniecības izglītības programmas. Praksē var būt situācijas, ka atbalsta pretendentam ir jau iegūta augstākā vai vidējā profesionālā lauksaimniecības izglītība vai ir uzsāktas mācības augstākās vai vidējās profesionālās lauksaimniecības programmā, bet tās neatbilst nosacījumam, ka jāapgūst lauksaimniecības priekšmetus vismaz 320 stundu apjomā. Šajos gadījumos atbalsta pretendentam būtu jāmaina studiju programma vai jāiegūst papildus lauksaimniecības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kādēļ nav paredzēta iespēja, ka atbalsta pretendents ir uzsācis mācības augstākās vai vidējās profesionālās lauksaimniecības izglītības programmā vai lauksaimniecības zināšanu pamatkursus.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Gados jaunie lauksaimnieki reāli un ilgstoši kontrolē saimniecības lēmumus, ja kārtējā gadā periodā no pieteikšanās ienākumu papildatbalstam gados jauniem lauksaimniekiem līdz 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projektā ietvert Ministru kabineta 2015.gada 10.marta noteikumu Nr.126 "Tiešo maksājumu piešķiršanas kārtība lauksaimniekiem" (turpmāk - noteikumi Nr. 126) 127.3 punktam atbilstošu normu. Nepieciešamības gadījumā lūdzam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Klimatiskās un vidiskās shēmas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2021/2115 31. pantā ir runa par klimatiskām, vidiskām un dzīvnieku labturības shēmām (sk. arī 31. panta 2. punktu), lūdzam skaidrot projekta 12. nodaļas (sk. tostarp arī tās nosaukumu) atbilstību regulā ietvertajām normām.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 Atbalstu brīvprātīgajās klimatiskajās un vidiskajās shēmās (turpmāk – ekoshēmas) saskaņā ar</w:t>
            </w:r>
            <w:r w:rsidR="00000000" w:rsidRPr="00000000" w:rsidDel="00000000">
              <w:rPr>
                <w:rtl w:val="0"/>
              </w:rPr>
              <w:t xml:space="preserve"> regulas 2021/2115 31. panta 2. punktu</w:t>
            </w:r>
            <w:r w:rsidR="00000000" w:rsidRPr="00000000" w:rsidDel="00000000">
              <w:rPr>
                <w:rtl w:val="0"/>
              </w:rPr>
              <w:t xml:space="preserve"> piešķir lauksaimniekam, kas nodarbojas ar lauksaimniecisko darbību, par platību, kura ir atbalsttiesīga ilgtspēju sekmējošā ienākumu pamatatbalsta saņemšanai un kurā ievēro kādu no klimatam un videi labvēlīgām lauksaimniecības praksēm atbilstoši šīs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projekta 140. punktā korektu iekšējo atsauci (proti, ja domāta 12.1. apakšnodaļa, tad "atbilstoši šīs apakšnodaļas", ja domāta 12. nodaļa, tad "atbilstoši šo noteikumu 12. 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Lauksaimnieks, izmantojot Lauku atbalsta dienesta mobilo lietotni, uzņem un automātiski nosūta ģeomarķētus fotoattēlus ar laika un vietas atzīmi, lai pierādītu minimālu augsnes apstrādi.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kādēļ kā vienīgā iespēja projekta 156., 162. un 394. punktā, lai pierādītu attiecīgos apstākļus, paredzēta ģeomarķētu fotoattēlu ar laika un vietas atzīmi uzņemšana un automātiska nosūtīšana, turklāt izmantojot Lauku atbalsta dienesta mobilo lietotni. Nav skaidrs, kādēļ nepieciešams noteikt konkrētu veidu, kā pierādīt attiecīgo apstākli, turklāt minētais nosacījums var būt ierobežojošs noteiktām personām, kurām nav attiecīgu tehnoloģiju (piemēram, vecāka gadagājuma cilvēkiem var nebūt mobilās lietotnes izmantošanai piemērots telefons), un pat diskriminējošs vecuma dēļ, attiecīgi pārkāpjot Eiropas Savienības pamattiesību hartas 21. pantu. Attiecīgi lūdzam izvērtēt un precizēt projektu, nenosakot prasību kā obligātu. Lūdzam arī pārskatīt citas normas projektā un nepieciešamības gadījumā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Ekoshēmas atbalstu par zālāju saglabāšanas veicināšanu nepiešķir par ilggadīgo zālāju, kam noteikts ekoloģiski jutīga ilggadīgā zālāja statuss saskaņā ar </w:t>
            </w:r>
            <w:r w:rsidR="00000000" w:rsidRPr="00000000" w:rsidDel="00000000">
              <w:rPr>
                <w:rtl w:val="0"/>
              </w:rPr>
              <w:t xml:space="preserve">regulas 2021/2115 III pielikumā</w:t>
            </w:r>
            <w:r w:rsidR="00000000" w:rsidRPr="00000000" w:rsidDel="00000000">
              <w:rPr>
                <w:rtl w:val="0"/>
              </w:rPr>
              <w:t xml:space="preserve"> noteikto 9. LLVS standartu.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184. punktā ietverto atsauci "kam noteikts ekoloģiski jutīga ilggadīgā zālāja statuss saskaņā ar regulas 2021/2115 III pielikumā noteikto 9. LLVS standartu", ņemot vērā, ka minētajā regulas normā, šķiet, nav noteikts ekoloģiski ilggadīga zālāja statuss. Tā vietā lūdzam atsaukties uz projekta vienību, kas to noteic. Alternatīvi lūdzam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Saistīto ienākumu atbalstu par cietes kartupeļiem var saņemt lauksaimnieks, kas ar cietes ražotāju ir noslēdzis līgumu par noteiktu cietes kartupeļu stādījumu platību un noteikta kartupeļu daudzuma piegādi kārtējā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213. punkta formulējuma nav pilnīgi skaidrs, kāds ir līguma priekšmets (piemēram, noteikumu Nr. 126 173. punktā pirms vārda "līgumu" bija norāde "kartupeļu audzēšanas"). Attiecīgi lūdzam izvērtēt un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Lauksaimnieks, Valsts augu aizsardzības dienestā, piesakot sēklas kartupeļu platību lauku apskatei, sēklaudzēšanas lauku apskates pieteikumā norāda lauka numuru un lauka bloka numuru atbilstoši ģeotelpiskajam iesniegumam, kas iesniegts Lauku atbalsta dienestā saskaņā ar šo noteikumu </w:t>
            </w:r>
            <w:r w:rsidR="00000000" w:rsidRPr="00000000" w:rsidDel="00000000">
              <w:rPr>
                <w:rtl w:val="0"/>
              </w:rPr>
              <w:t xml:space="preserve">222.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projekta 222. punktu, jo tajā nav runa par iesnieguma iesniegšanu, vai sniegt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Lauksaimnieks ģeotelpiskajā iesniegumā norāda informāciju par visiem saimniecībā izmantojamiem lauksaimniecības zemes nogabaliem, arī par tiem, par kuriem atbalsts netiek pieprasīts, un citu pieprasīto informāciju, tostarp informāciju par lauksaimniecības nozares vai citu normatīvo aktu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251. punkts ir pārāk vispārīgi un plaši formulēts. Pamatojoties uz šādu normu, var pieprasīt un ir nepieciešams norādīt iesniegumā jebko ("un citu pieprasīto informāciju", "vai citu normatīvo aktu"). No šādas normas redakcijas personai nav skaidrs, kas tai ir jānorāda iesniegumā. Papildus nav skaidrs, kādēļ vajag norādīt informāciju par visiem saimniecībā izmantojamiem lauksaimniecības zemes nogabaliem, arī par tiem, par kuriem atbalsts netiek pieprasīts. Nav arī skaidrs, kādēļ vajadzīga informācija par citu normatīvo aktu ievērošanu. Turklāt norādām, ka atbilstoši noteikumu Nr. 108 137. punktam norādāma noteikta normatīvo aktu joma. Attiecīgi lūdzam precizēt normu un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 Lai ģeotelpiskajā iesniegumā deklarētu visu lauksaimnieka rīcībā esošo lauksaimniecības zemi, lauksaimnieks Lauku atbalsta dienestā iesniedz iesniegumu lauku bloku precizēšanai par lauksaimniecības zemes iekļaušanu lauku reģistrā. Iesnieguma saturs noteikts šo noteikumu </w:t>
            </w:r>
            <w:r w:rsidR="00000000" w:rsidRPr="00000000" w:rsidDel="00000000">
              <w:rPr>
                <w:rtl w:val="0"/>
              </w:rPr>
              <w:t xml:space="preserve">24. </w:t>
            </w:r>
            <w:r w:rsidR="00000000" w:rsidRPr="00000000" w:rsidDel="00000000">
              <w:rPr>
                <w:rtl w:val="0"/>
              </w:rPr>
              <w:t xml:space="preserve">pielikumā</w:t>
            </w:r>
            <w:r w:rsidR="00000000" w:rsidRPr="00000000" w:rsidDel="00000000">
              <w:rPr>
                <w:rtl w:val="0"/>
              </w:rPr>
              <w:t xml:space="preserve">. Lauku atbalsta dienests iesniegumu lauku bloku precizēšanai var noraidīt, ja izmaiņas attiecas uz mazāk nekā diviem procentiem no lauku bloku platības vai 0,1 hektāru.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260., 309., 314. un 330. punktu nepieciešams papildus izvērtēt un precizēt. Vēršam uzmanību, ka projektā nebūtu pieļaujams izmantot vārdus “iesniegumu noraida” dažādās variācijās, jo šāda rīcības izteiksme neatbilst administratīvajā procesā pieņemtajai terminoloģijai. Administratīvajā procesā iesniegums tiek pieņemts, izskatīts un par to tiek pieņemts atbilstošs lēmums – privātpersonai labvēlīgs vai nelabvēlīgs administratīvais akts. Savukārt vārdu “noraida” administratīvajās tiesībās var interpretēt kā iesnieguma atstāšanu bez izskatīšanas. Ievērojot minēto, piedāvājam projektā neveidot regulējumu par iesnieguma noraidīšanu, bet nelabvēlīga lēmuma pieņemšanu.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Ja lauksaimnieks ir informēts par kontroles iestādes nolūku veikt pārbaudi uz vietas un šajā pārbaudē tiek konstatētas neatbilstības vai iestāde ir informējusi lauksaimnieku par neatbilstībām ģeotelpiskajā iesniegumā, lauksaimnieks nav tiesīgs atsaukt ģeotelpisko iesniegumu tajā daļā, kurā ir konstatētas neatbilstības.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271. punkta atbilstību Eiropas Komisijas 2022. gada 31. maija īstenošanas regula (ES) Nr. 2022/1173, ar ko nosaka noteikumus par to, kā Eiropas Parlamenta un Padomes Regulu (ES) 2021/2116 piemēro attiecībā uz kopējā lauksaimniecības politikā integrēto administrācijas un kontroles sistēmu (turpmāk – regula 2022/1173) 7. panta 2. punktam.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Platību uzraudzības (monitoringa) sistēmā saskaņā ar</w:t>
            </w:r>
            <w:r w:rsidR="00000000" w:rsidRPr="00000000" w:rsidDel="00000000">
              <w:rPr>
                <w:rtl w:val="0"/>
              </w:rPr>
              <w:t xml:space="preserve"> regulas 2022/1173 10. panta 9. punktu</w:t>
            </w:r>
            <w:r w:rsidR="00000000" w:rsidRPr="00000000" w:rsidDel="00000000">
              <w:rPr>
                <w:rtl w:val="0"/>
              </w:rPr>
              <w:t xml:space="preserve"> ir iekļaujamas šādas intervences un to atbilstības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2022/1173 10. panta 9. punkts attiecas konkrēti uz 2023. gadu. Attiecīgi lūdzam precizēt vai sniegt skaidrojumu. Lūdzam arī anotācijas 5. sadaļas 1. tabulā skaidrot regulas 2022/1173 10. panta 4. punkta rīcības brīvības izmantošanu vai neizmantošanu.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 Lauksaimniekam ir pienākums pēc Lauku atbalsta dienesta pieprasījuma iesniegt ģeomarķētus fotoattēlus ar laika un vietas atzīmi atbilstības nosacījumu pārbaudei šo noteikumu </w:t>
            </w:r>
            <w:r w:rsidR="00000000" w:rsidRPr="00000000" w:rsidDel="00000000">
              <w:rPr>
                <w:rtl w:val="0"/>
              </w:rPr>
              <w:t xml:space="preserve">285. </w:t>
            </w:r>
            <w:r w:rsidR="00000000" w:rsidRPr="00000000" w:rsidDel="00000000">
              <w:rPr>
                <w:rtl w:val="0"/>
              </w:rPr>
              <w:t xml:space="preserve">punktā</w:t>
            </w:r>
            <w:r w:rsidR="00000000" w:rsidRPr="00000000" w:rsidDel="00000000">
              <w:rPr>
                <w:rtl w:val="0"/>
              </w:rPr>
              <w:t xml:space="preserve"> minētajās intervencēs, uz kurām attiecināma platību uzraudzības (monitoringa) sistēma. Ja lauksaimnieks nav iesniedzis pieprasītos ģeomarķētos fotoattēlus, saskaņā ar </w:t>
            </w:r>
            <w:r w:rsidR="00000000" w:rsidRPr="00000000" w:rsidDel="00000000">
              <w:rPr>
                <w:rtl w:val="0"/>
              </w:rPr>
              <w:t xml:space="preserve">regulas 2022/1173 10. panta 4. punktu</w:t>
            </w:r>
            <w:r w:rsidR="00000000" w:rsidRPr="00000000" w:rsidDel="00000000">
              <w:rPr>
                <w:rtl w:val="0"/>
              </w:rPr>
              <w:t xml:space="preserve"> ​​​​uzskatāms, ka attiecīgais intervences atbilstības nosacījums nav izpildīts un atbalstam piemērojams samazinājums.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286. punktu, ņemot vērā, ka regulas 2022/1173 10. panta 4. punkts nav par to, kad uzskatāms, ka intervences atbilstības nosacījums nav izpildīts un atbalstam piemērojams samazinājums. Attiecīgi atsauce nešķiet korekta. Attiecīgi lūdzam precizēt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306. Atbalsta pretendents ir tiesīgs piedalīties pārbaudē, kas notiek saimniecībā, un iepazīties ar pārbaudes rezultātiem. Atbalsta pretendenta nepiedalīšanās pārbaudē neietekmē atbalsta samazinājuma un sankciju piemērošanu, ja konstatēts atbalsta saņemšanas nosacījumu un saistību pārkāpums.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par kādām sankcijām projekta 306. punktā ir runa, ņemot vērā, ka projektā ir runa tikai par atbalsta samazinājumu. Lūdzam izvērtēt, vai vārds nav svītrojams. Attiecīgi lūdzam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317.2. ja attiecīgā persona pierāda, ka tā nav vainīga atbalsta maksājumu piešķiršanas nosacījumu neievērošanā, vai ja kompetentā iestāde kā citādi ir pārliecinājusies, ka attiecīgā persona nav vainīga.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personas vainu vērtē krimināltiesībās, attiecīgi lūdzam projektā nelietot minēto terminu. Turklāt lūdzam skaidrot vai precizēt normu. Vēršam uzmanību, ka nav skaidrs normas tvērums, proti, uz kādiem gadījumiem tā attiecas. Turklāt nav arī pilnīgi skaidrs, kādēļ situācijā, kad ir faktiska neatbilstība nosacījumiem, tomēr netiek piemērots atbalsta samazinājums. Lūdzam arī izvērtēt, vai 317. punkta ievaddaļā vārdu "nepiemēro" nav lietojams vārds "var nepiemērot", kas norāda uz izvēles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Ekoshēmas atbalsts par videi un klimatam labvēlīgu lauksaimniecības praksi un ekoshēmas atbalsts par agroekoloģijas praksi bioloģiskās saimniecībās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14.7. apakšnodaļas nosaukumu, ņemot vērā, ka tas ir divu apakšnodaļu nosaukumu apvienojums, turklāt ietverts 14. nodaļā, nevis 12. nodaļā un attiecīgi ir mulsinošs.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Saistīto ienākumu atbalstu nepiešķir par to dzīvnieku skaitu, kas pārsniedz lauksaimnieka īpašumā esošo atbalsttiesīgo dzīvnieku skaitu, kas reģistrēts Lauksaimniecības datu centra dzīvnieku reģistrā turēšanas perioda pirmajā dienā.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333. punkts, šķiet, sistēmiski neiederas 14.8. apakšnodaļā. Attiecīgi lūdzam precizēt vai sniegt skaidrojumu. Lūdzam izvērtēt arī citu normu sistēmisko iederību un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Atbilstību liellopu, aitu un kazu identifikācijas un reģistrācijas prasībām izvērtē, ņemot vērā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201. un 204. punktā ietverto atsauci, lūdzam izvērtēt, vai projekta 335. punktā nav nepieciešams konkrēti minēt arī slaucamās govis.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Ja lauksaimnieks kavē pārbaudi saimniecībā, attiecīgā amatpersona to norāda kontroles ziņojumā un tas uzskatāms par tīšas neatbilstības gadījumu.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projekta 347. punktu, īpaši to, vai ir samērīgi paredzēt, ka ikviens kavējums ir uzskatāms par tīšas neatbilstības gadījumu (uz ko norāda vārdi "uzskatāms"). Lūdzam arī skaidrot, kādas sekas ir tam, ka tas ir tīšas neatbilstības gadījums. Aicinām arī izvērtēt, vai vārda "tas uzskatāms" vietā nav lietojami vārdi "to var uzskatīt". Līdzīgi arī lūdzam izvērtēt un skaidrot vai precizēt projekta 309.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360.1. par 0,5 procentu, ja platību uzraudzības sistēmas pārbaudēs tiek konstatēta netīša neatbilstība saskaņā ar </w:t>
            </w:r>
            <w:r w:rsidR="00000000" w:rsidRPr="00000000" w:rsidDel="00000000">
              <w:rPr>
                <w:rtl w:val="0"/>
              </w:rPr>
              <w:t xml:space="preserve">regulas 2021/2116 85. panta 4. punktu;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360.1. apakšpunktā ietverta korekta atsauce uz regulas normu. Aicinām izvērtēt, vai normā nav ieviests Eiropas Komisijas 2022. gada 4. maija Deleģētās regulas (ES) 2022/1172, ar ko Eiropas Parlamenta un Padomes Regulu (ES) 2021/2116 papildina attiecībā uz kopējā lauksaimniecības politikā integrēto administrācijas un kontroles sistēmu un ar nosacījumu sistēmu saistīto administratīvo sodu piemērošanu un aprēķināšanu 9. panta 5. punkts. Nepieciešamības gadījumā lūdzam precizēt, kā arī norādīt informāciju par normas ieviešanu un rīcības brīvības izmantošanu anotācijas 5.sadaļas 1.tabulā. Alternatīvi lūdzam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arī citas atsauces un to korektumu.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366. Ja gada laikā ģeotelpisko iesniegumu, par kuru ir konstatēta neatbilstība nosacījumu sistēmas pārvaldības prasībām vai standartiem, nodod citai personai, tad saskaņā ar </w:t>
            </w:r>
            <w:r w:rsidR="00000000" w:rsidRPr="00000000" w:rsidDel="00000000">
              <w:rPr>
                <w:rtl w:val="0"/>
              </w:rPr>
              <w:t xml:space="preserve">regulas 2021/2116 84. panta 2. punkta ''a'' apakšpunktu</w:t>
            </w:r>
            <w:r w:rsidR="00000000" w:rsidRPr="00000000" w:rsidDel="00000000">
              <w:rPr>
                <w:rtl w:val="0"/>
              </w:rPr>
              <w:t xml:space="preserve"> atbalsta samazinājums piemērojams personai, kuras rīcībā pārbaude brīdī ir nodotā lauksaimniecības zeme vai saimniecība.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366. punktā ietverto normu, īpaši skaidrojot, kādēļ pastāv atšķirības no 367. punktā ietvertā regulējuma. Proti, paužam bažas, ka attiecīgi iespējama situācija, kad atbalsta samazinājumu piemēro personai, kura faktiski nav veikusi neatbilstību. Lūdzam arī attiecīgi skaidrot, kā projekta 366. punktā ir ievērota regulas 2021/2116 84. panta 2. punkta otrā daļa, kas citstarp noteic, ka "pirmajā daļā minētos administratīvos sodus piemēro tikai tad, ja neatbilstība ir tieši uz attiecīgo labuma guvēju attiecināmas darbības vai bezdarbības rezultāts". Attiecīgi lūdzam skaidrot. Nepieciešamības gadījumā lūdzam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379.4. līdz kārtējā gada 15. oktobrim Lauku atbalts dienestā ir iesniegta vienošanās starp saimniecības pārņēmēju un personu, kas nodod saimniecību, par saimniecības pārņēmēja tiesībām saņemt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projekta 379.4. apakšpunktā ietvertās vienošanās jēgu un mērķi, ja jau 379. punkts paredz, ka pie noteiktiem nosacījumiem tiešo maksājumu piešķir saimniecības pārņēmējam. Nepieciešamības gadījumā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382.16. ilgtspēju sekmējoša ienākumu pamatatbalsta faktiski izmaksājamās vienības summas aprēķināmas, izmantojot šādas formulas:</w:t>
            </w:r>
          </w:p>
          <w:tbl>
            <w:tblPr>
              <w:tblStyle w:val="DefaultTable"/>
              <w:bidiVisual w:val="0"/>
              <w:tblW w:w="3225.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54"/>
              <w:gridCol w:w="1970"/>
              <w:tblGridChange w:id="0">
                <w:tblGrid>
                  <w:gridCol w:w="954"/>
                  <w:gridCol w:w="1970"/>
                </w:tblGrid>
              </w:tblGridChange>
            </w:tblGrid>
            <w:tr>
              <w:tc>
                <w:tcPr>
                  <w:shd w:fill="ffffff"/>
                  <w:vAlign w:val="center"/>
                  <w:noWrap w:val="true"/>
                  <w:vMerge w:val="restart"/>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VSF</w:t>
                  </w:r>
                  <w:r w:rsidR="00000000" w:rsidRPr="00000000" w:rsidDel="00000000">
                    <w:rPr>
                      <w:sz w:val="24"/>
                      <w:vertAlign w:val="subscript"/>
                      <w:rtl w:val="0"/>
                    </w:rPr>
                    <w:t xml:space="preserve">U1.1</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FPI</w:t>
                  </w:r>
                  <w:r w:rsidR="00000000" w:rsidRPr="00000000" w:rsidDel="00000000">
                    <w:rPr>
                      <w:sz w:val="24"/>
                      <w:vertAlign w:val="subscript"/>
                      <w:rtl w:val="0"/>
                    </w:rPr>
                    <w:t xml:space="preserve">U1.1</w:t>
                  </w:r>
                  <w:r w:rsidR="00000000" w:rsidRPr="00000000" w:rsidDel="00000000">
                    <w:rPr>
                      <w:sz w:val="24"/>
                      <w:rtl w:val="0"/>
                    </w:rPr>
                    <w:t xml:space="preserve"> + FPI</w:t>
                  </w:r>
                  <w:r w:rsidR="00000000" w:rsidRPr="00000000" w:rsidDel="00000000">
                    <w:rPr>
                      <w:sz w:val="24"/>
                      <w:vertAlign w:val="subscript"/>
                      <w:rtl w:val="0"/>
                    </w:rPr>
                    <w:t xml:space="preserve">U1.2</w:t>
                  </w:r>
                  <w:r w:rsidR="00000000" w:rsidRPr="00000000" w:rsidDel="00000000">
                    <w:rPr>
                      <w:sz w:val="24"/>
                      <w:rtl w:val="0"/>
                    </w:rPr>
                    <w:t xml:space="preserve"> – VSP</w:t>
                  </w:r>
                  <w:r w:rsidR="00000000" w:rsidRPr="00000000" w:rsidDel="00000000">
                    <w:rPr>
                      <w:sz w:val="24"/>
                      <w:vertAlign w:val="subscript"/>
                      <w:rtl w:val="0"/>
                    </w:rPr>
                    <w:t xml:space="preserve">U1.3</w:t>
                  </w:r>
                  <w:r w:rsidR="00000000" w:rsidRPr="00000000" w:rsidDel="00000000">
                    <w:rPr>
                      <w:sz w:val="24"/>
                      <w:rtl w:val="0"/>
                    </w:rPr>
                    <w:t xml:space="preserve"> * (O4F</w:t>
                  </w:r>
                  <w:r w:rsidR="00000000" w:rsidRPr="00000000" w:rsidDel="00000000">
                    <w:rPr>
                      <w:sz w:val="24"/>
                      <w:vertAlign w:val="subscript"/>
                      <w:rtl w:val="0"/>
                    </w:rPr>
                    <w:t xml:space="preserve">U1.3</w:t>
                  </w:r>
                  <w:r w:rsidR="00000000" w:rsidRPr="00000000" w:rsidDel="00000000">
                    <w:rPr>
                      <w:sz w:val="24"/>
                      <w:rtl w:val="0"/>
                    </w:rPr>
                    <w:t xml:space="preserve"> – O4P</w:t>
                  </w:r>
                  <w:r w:rsidR="00000000" w:rsidRPr="00000000" w:rsidDel="00000000">
                    <w:rPr>
                      <w:sz w:val="24"/>
                      <w:vertAlign w:val="subscript"/>
                      <w:rtl w:val="0"/>
                    </w:rPr>
                    <w:t xml:space="preserve">U1.3</w:t>
                  </w:r>
                  <w:r w:rsidR="00000000" w:rsidRPr="00000000" w:rsidDel="00000000">
                    <w:rPr>
                      <w:sz w:val="24"/>
                      <w:rtl w:val="0"/>
                    </w:rPr>
                    <w:t xml:space="preserve">) + ∆FP</w:t>
                  </w:r>
                  <w:r w:rsidR="00000000" w:rsidRPr="00000000" w:rsidDel="00000000">
                    <w:rPr>
                      <w:sz w:val="24"/>
                      <w:vertAlign w:val="subscript"/>
                      <w:rtl w:val="0"/>
                    </w:rPr>
                    <w:t xml:space="preserve">U1.1_2</w:t>
                  </w:r>
                  <w:r w:rsidR="00000000" w:rsidRPr="00000000" w:rsidDel="00000000">
                    <w:rPr>
                      <w:sz w:val="24"/>
                      <w:rtl w:val="0"/>
                    </w:rPr>
                    <w:t xml:space="preserve"> – 10 * O4F</w:t>
                  </w:r>
                  <w:r w:rsidR="00000000" w:rsidRPr="00000000" w:rsidDel="00000000">
                    <w:rPr>
                      <w:sz w:val="24"/>
                      <w:vertAlign w:val="subscript"/>
                      <w:rtl w:val="0"/>
                    </w:rPr>
                    <w:t xml:space="preserve">U1.2</w:t>
                  </w:r>
                </w:p>
              </w:tc>
            </w:tr>
            <w:tr>
              <w:tc>
                <w:tcPr>
                  <w:shd w:fill="ffffff"/>
                  <w:vAlign w:val="center"/>
                  <w:noWrap w:val="true"/>
                  <w:vMerge w:val="contin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O4F</w:t>
                  </w:r>
                  <w:r w:rsidR="00000000" w:rsidRPr="00000000" w:rsidDel="00000000">
                    <w:rPr>
                      <w:sz w:val="24"/>
                      <w:vertAlign w:val="subscript"/>
                      <w:rtl w:val="0"/>
                    </w:rPr>
                    <w:t xml:space="preserve">U1.1</w:t>
                  </w:r>
                  <w:r w:rsidR="00000000" w:rsidRPr="00000000" w:rsidDel="00000000">
                    <w:rPr>
                      <w:sz w:val="24"/>
                      <w:rtl w:val="0"/>
                    </w:rPr>
                    <w:t xml:space="preserve">+O4F</w:t>
                  </w:r>
                  <w:r w:rsidR="00000000" w:rsidRPr="00000000" w:rsidDel="00000000">
                    <w:rPr>
                      <w:sz w:val="24"/>
                      <w:vertAlign w:val="subscript"/>
                      <w:rtl w:val="0"/>
                    </w:rPr>
                    <w:t xml:space="preserve">U1.2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VSF</w:t>
            </w:r>
            <w:r w:rsidR="00000000" w:rsidRPr="00000000" w:rsidDel="00000000">
              <w:rPr>
                <w:vertAlign w:val="subscript"/>
                <w:rtl w:val="0"/>
              </w:rPr>
              <w:t xml:space="preserve">U1.2</w:t>
            </w:r>
            <w:r w:rsidR="00000000" w:rsidRPr="00000000" w:rsidDel="00000000">
              <w:rPr>
                <w:rtl w:val="0"/>
              </w:rPr>
              <w:t xml:space="preserve">=VSF</w:t>
            </w:r>
            <w:r w:rsidR="00000000" w:rsidRPr="00000000" w:rsidDel="00000000">
              <w:rPr>
                <w:vertAlign w:val="subscript"/>
                <w:rtl w:val="0"/>
              </w:rPr>
              <w:t xml:space="preserve">U1.1 </w:t>
            </w:r>
            <w:r w:rsidR="00000000" w:rsidRPr="00000000" w:rsidDel="00000000">
              <w:rPr>
                <w:rtl w:val="0"/>
              </w:rPr>
              <w:t xml:space="preserve">+ 10,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VSF</w:t>
            </w:r>
            <w:r w:rsidR="00000000" w:rsidRPr="00000000" w:rsidDel="00000000">
              <w:rPr>
                <w:vertAlign w:val="subscript"/>
                <w:rtl w:val="0"/>
              </w:rPr>
              <w:t xml:space="preserve">U1.1</w:t>
            </w:r>
            <w:r w:rsidR="00000000" w:rsidRPr="00000000" w:rsidDel="00000000">
              <w:rPr>
                <w:rtl w:val="0"/>
              </w:rPr>
              <w:t xml:space="preserve"> – ilgtspēju sekmējošā ienākumu pamatabalsta (turpmāk – ISIP) faktiski izmaksājamā vienības summa pārējos novados un valstspilsētās, </w:t>
            </w:r>
            <w:r w:rsidR="00000000" w:rsidRPr="00000000" w:rsidDel="00000000">
              <w:rPr>
                <w:i w:val="1"/>
                <w:rtl w:val="0"/>
              </w:rPr>
              <w:t xml:space="preserve">euro</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VSF</w:t>
            </w:r>
            <w:r w:rsidR="00000000" w:rsidRPr="00000000" w:rsidDel="00000000">
              <w:rPr>
                <w:vertAlign w:val="subscript"/>
                <w:rtl w:val="0"/>
              </w:rPr>
              <w:t xml:space="preserve">U1.2</w:t>
            </w:r>
            <w:r w:rsidR="00000000" w:rsidRPr="00000000" w:rsidDel="00000000">
              <w:rPr>
                <w:rtl w:val="0"/>
              </w:rPr>
              <w:t xml:space="preserve"> – ISIP faktiski izmaksājamā vienības summa novados ar īpašiem apstākļiem, </w:t>
            </w:r>
            <w:r w:rsidR="00000000" w:rsidRPr="00000000" w:rsidDel="00000000">
              <w:rPr>
                <w:i w:val="1"/>
                <w:rtl w:val="0"/>
              </w:rPr>
              <w:t xml:space="preserve">euro </w:t>
            </w:r>
            <w:r w:rsidR="00000000" w:rsidRPr="00000000" w:rsidDel="00000000">
              <w:rPr>
                <w:rtl w:val="0"/>
              </w:rPr>
              <w:t xml:space="preserve">/ha;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VSP</w:t>
            </w:r>
            <w:r w:rsidR="00000000" w:rsidRPr="00000000" w:rsidDel="00000000">
              <w:rPr>
                <w:vertAlign w:val="subscript"/>
                <w:rtl w:val="0"/>
              </w:rPr>
              <w:t xml:space="preserve">U1.3</w:t>
            </w:r>
            <w:r w:rsidR="00000000" w:rsidRPr="00000000" w:rsidDel="00000000">
              <w:rPr>
                <w:rtl w:val="0"/>
              </w:rPr>
              <w:t xml:space="preserve"> – maksājuma mazajiem lauksaimniekiem (turpmāk – MLS) plānotā un faktiski izmaksājamā vienības summa, </w:t>
            </w:r>
            <w:r w:rsidR="00000000" w:rsidRPr="00000000" w:rsidDel="00000000">
              <w:rPr>
                <w:i w:val="1"/>
                <w:rtl w:val="0"/>
              </w:rPr>
              <w:t xml:space="preserve">euro</w:t>
            </w:r>
            <w:r w:rsidR="00000000" w:rsidRPr="00000000" w:rsidDel="00000000">
              <w:rPr>
                <w:rtl w:val="0"/>
              </w:rPr>
              <w:t xml:space="preserve"> 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FPI</w:t>
            </w:r>
            <w:r w:rsidR="00000000" w:rsidRPr="00000000" w:rsidDel="00000000">
              <w:rPr>
                <w:vertAlign w:val="subscript"/>
                <w:rtl w:val="0"/>
              </w:rPr>
              <w:t xml:space="preserve">U1.1</w:t>
            </w:r>
            <w:r w:rsidR="00000000" w:rsidRPr="00000000" w:rsidDel="00000000">
              <w:rPr>
                <w:rtl w:val="0"/>
              </w:rPr>
              <w:t xml:space="preserve"> – ISIP indikatīvais finanšu piešķīrums pārējos novados un valstspilsētās,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FPI</w:t>
            </w:r>
            <w:r w:rsidR="00000000" w:rsidRPr="00000000" w:rsidDel="00000000">
              <w:rPr>
                <w:vertAlign w:val="subscript"/>
                <w:rtl w:val="0"/>
              </w:rPr>
              <w:t xml:space="preserve">U1.2</w:t>
            </w:r>
            <w:r w:rsidR="00000000" w:rsidRPr="00000000" w:rsidDel="00000000">
              <w:rPr>
                <w:rtl w:val="0"/>
              </w:rPr>
              <w:t xml:space="preserve"> – ISIP indikatīvais finanšu piešķīrums novados ar īpašiem apstākļiem,</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FPI</w:t>
            </w:r>
            <w:r w:rsidR="00000000" w:rsidRPr="00000000" w:rsidDel="00000000">
              <w:rPr>
                <w:vertAlign w:val="subscript"/>
                <w:rtl w:val="0"/>
              </w:rPr>
              <w:t xml:space="preserve">U1.3</w:t>
            </w:r>
            <w:r w:rsidR="00000000" w:rsidRPr="00000000" w:rsidDel="00000000">
              <w:rPr>
                <w:rtl w:val="0"/>
              </w:rPr>
              <w:t xml:space="preserve"> – MLS indikatīvais finanšu piešķīrums,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w:t>
            </w:r>
            <w:r w:rsidR="00000000" w:rsidRPr="00000000" w:rsidDel="00000000">
              <w:rPr>
                <w:vertAlign w:val="subscript"/>
                <w:rtl w:val="0"/>
              </w:rPr>
              <w:t xml:space="preserve">U1.1_2</w:t>
            </w:r>
            <w:r w:rsidR="00000000" w:rsidRPr="00000000" w:rsidDel="00000000">
              <w:rPr>
                <w:rtl w:val="0"/>
              </w:rPr>
              <w:t xml:space="preserve"> – ISIP novados ar īpašiem apstākļiem un pārējos novados un valstspilsētās kopējā faktiskā finanšu piešķīruma palielinājums (+) vai samazinājums (–) salīdzinājumā ar ISIP novados ar īpašiem apstākļiem un pārējos novados un valstspilsētās kopējo indikatīvo finanšu piešķīrumu, ja tas radies finanšu pārneses dēļ, koriģējot tiešo maksājumu shēmu faktiskos finanšu piešķīrumus,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O4P</w:t>
            </w:r>
            <w:r w:rsidR="00000000" w:rsidRPr="00000000" w:rsidDel="00000000">
              <w:rPr>
                <w:vertAlign w:val="subscript"/>
                <w:rtl w:val="0"/>
              </w:rPr>
              <w:t xml:space="preserve">U1.3</w:t>
            </w:r>
            <w:r w:rsidR="00000000" w:rsidRPr="00000000" w:rsidDel="00000000">
              <w:rPr>
                <w:rtl w:val="0"/>
              </w:rPr>
              <w:t xml:space="preserve"> – MLS plānotā izlaide, saimniecību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O4F</w:t>
            </w:r>
            <w:r w:rsidR="00000000" w:rsidRPr="00000000" w:rsidDel="00000000">
              <w:rPr>
                <w:vertAlign w:val="subscript"/>
                <w:rtl w:val="0"/>
              </w:rPr>
              <w:t xml:space="preserve">U1.1</w:t>
            </w:r>
            <w:r w:rsidR="00000000" w:rsidRPr="00000000" w:rsidDel="00000000">
              <w:rPr>
                <w:rtl w:val="0"/>
              </w:rPr>
              <w:t xml:space="preserve"> – ISIP faktiskā izlaide pārējos novados un valstspilsētās,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O4F</w:t>
            </w:r>
            <w:r w:rsidR="00000000" w:rsidRPr="00000000" w:rsidDel="00000000">
              <w:rPr>
                <w:vertAlign w:val="subscript"/>
                <w:rtl w:val="0"/>
              </w:rPr>
              <w:t xml:space="preserve">U1.2 </w:t>
            </w:r>
            <w:r w:rsidR="00000000" w:rsidRPr="00000000" w:rsidDel="00000000">
              <w:rPr>
                <w:rtl w:val="0"/>
              </w:rPr>
              <w:t xml:space="preserve">– ISIP faktiskā izlaide novados ar īpašiem apstākļiem,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O4F</w:t>
            </w:r>
            <w:r w:rsidR="00000000" w:rsidRPr="00000000" w:rsidDel="00000000">
              <w:rPr>
                <w:vertAlign w:val="subscript"/>
                <w:rtl w:val="0"/>
              </w:rPr>
              <w:t xml:space="preserve">U1.3</w:t>
            </w:r>
            <w:r w:rsidR="00000000" w:rsidRPr="00000000" w:rsidDel="00000000">
              <w:rPr>
                <w:rtl w:val="0"/>
              </w:rPr>
              <w:t xml:space="preserve"> – MLS faktiskā izlaide, saimniecību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ietvertās formulas ietvert projekta pielikumā, un projekta 382.16. apakšpunktā ietvert attiecīgu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Informācijas apmaiņa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normas par savstarpējo iestāžu informācijas sniegšanu, ņemot vērā, ka Lauku atbalsta dienesta tiesības pieprasīt un saņemt informāciju izriet no Administratīvā procesa likuma, Valsts pārvaldes iekārtas likuma u.c. normatīvajiem aktiem, kādēļ nav nepieciešams to atsevišķi noregulēt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vairākās vietās ietvertas normas, kurām, šķiet, ir pagaidu regulējuma raksturs un kuras attiecīgi būtu ietveramas noslēguma jautājumu nodaļā atbilstoši noteikumu Nr. 108 115. punktam (sk., piemēram, projekta 57. punkts, 114. punkta 1.teikums, 77. punkts, 78. punkts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arī vairākās normās ietvertas piemērošanas sākuma datuma norādes (sk., piemēram, 71., 73. punktu), kas arī attiecīgi būtu norādāmas noslēguma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2023. gada 16. februāra sanāksmes protokola 2. § lūdzam projekta noslēguma jautājumus izkārtot, ņemot vērā turpmāk minēto noslēgumu jautājumu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norāde uz institūciju, kas līdz noteikumu izpildei paredzētās institūcijas izveidošanai nodrošinās noteikumos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vai to atsevišķu punktu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atsevišķu punktu spēkā stāšanās laiks, ja tas atšķiras no visu noteikumu spēkā stāšanās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spēkā stāšanās diena, ja tā atšķiras no vispārējās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laiks, līdz kuram noteikumi vai atsevišķas tā normas ir spēkā, ja noteikumi vai atsevišķas normas ir pieņemtas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norāde, kuri Ministru kabineta noteikumi tiek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aktos noteiktās pārvaldības prasības (TANPP) saskaņā ar regulas Nr. 2021/2115 III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nav pieļaujams atsaukties uz direktīvām un ir pieļaujams atsaukties tikai uz tieši piemērojamiem normatīvajiem aktiem. Attiecīgi lūdzam precizēt projekta 8. pielikumu. Papildus norādām, ka šobrīd faktiski tiek dublētas regulas 2021/2115 III pielikuma prasības. Atgādinām, ka regulu normas pārrakstīt ir aizliegts. Uz regulu normām, ja nepieciešams, ir veidojamas atsauces atbilstoši noteikumu Nr. 108 172.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8. pielikumā aicinām atsauces uz nacionālajiem normatīvajiem aktiem vai to normām veidot saskaņā ar noteikumu Nr. 108 3.7.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Tiesību aktos noteiktās pārvaldības prasības (TANPP) saskaņā ar regulas Nr. 2021/2115 III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nelietot projektā terminu "nacionālā likumdošana", ņemot vērā, ka tas apzīmē likumdošanas procesu. Tā vietā aicinām lietot terminu "normatīvie akti" vai arī tā vietā izmantot citu vārdu, ņemot vērā kolonnā iekļautās normas (piemēram,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Pagasti, kuros piemērojams atbrīvojums no 7. laba lauksaimniecības un vides stāvokļa nosacījumu standarta izpildes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13. pielikuma nosaukumu, ņemot vērā, ka projekta 6.8. apakšnodaļā (sk. 91.4. apakšpunktu) nav runa par 7. laba lauksaimniecības un vides stāvokļa nosacījumu standartu. Papildus lūdzam skaidrot, kādēļ projekta 13. pielikumā noteiktas tieši konkrētās teritorijas.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23. pielikumu, ņemot vērā, ka ietvertas atsauces uz atceltām Eiropas Savienības regulām. Alternatīvi lūdzam sniegt skaidrojumu, kā arī lietot pilnu regulas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ietvertais skaidrojums par projekta 42.7. apakšpunktu, šķiet, neatbilst projekta redakcijai, ņemot vērā, ka tajā ir minēta cita summa. Attiecīgi lūdzam precizēt projektu vai anotāciju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kaut arī maksājums mazajiem lauksaimniekiem un ilgtspēju sekmējošais pārdalošais ienākumu papildatbalsts ir dažādi tiešie maksājumi, anotācijas 1.3. sadaļā tie raksturoti pilnīgi identiski. Attiecīgi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ne tikai ietvert vispārīgas norādes, bet gan izvērstāk skaidrot projekta regulējumu, skaidrojot un pamatojot atbalsta piešķiršanas nosacījumus u.c. projektā ietverto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(sk., piemēram, 8. pielikumu) ietvertas atsauces uz vēl vairākām Eiropas Savienības regulām, par kuru vienību ieviešanu anotācijas 5. sadaļā nav ietverta informācija. Attiecīgi lūdzam precizēt anotācijas 5. sadaļu, tostarp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vairākām nepilnībām anotācijas 5. sadaļas 1. tabulas ailē par Eiropas Savienības tiesību aktos paredzētās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ailē skaidrota ir tikai regulas 2021/2115 normu rīcības brīvības izmantošana, kaut rīcības brīvība ietverta arī citu regulu normās. Rīcības brīvība ir ietverta arī, piemēram, regulā 2021/2116 (piemēram, 56. panta 3. punkts, 85. panta 4. punkts, 86. pants), regulā 2022/1173 (piemēram,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ailē nepieciešams ne tikai norādīt, kā izmantota rīcības brīvība, bet arī skaidrot, kādēļ tā izmantota attiecīgajā veidā (proti, sniegt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ailē nav ietverta pilnīga informācija par regulā 2021/2115 ietverto rīcības brīvību un tās izmantošanu, jo ir vēl normas, kurās ietverta rīcības brīvība (piemēram, 4. panta citas apakšvienības (piemēram, 2. punkts), 22. panta 1. punkts, III pielikuma apakšvienības (sk., piemēram, zemsvītras 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precizēt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vairākām nepilnībām un neprecizitātēm attiecībā uz anotācijas 5. sadaļas 1. tabulā ietverto informāciju par pārņemtajām regulu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tabulas šobrīd izriet, ka projekta pielikumos, tostarp 8. pielikumā, nav ieviestas nekādas regulu prasības. Attiecīgi lūdzam precizēt, norādot arī informāciju par regulu vienību ieviešanu projekta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dažviet tabulā norādītas nekorektas projekta normas, kurās ieviestas regulu normas (sk. piemēram, norādi, ka projekta 40. punktā ieviests regulas 2021/2115 V pielikums un regulas 1307/2013 II pielikums, kaut domāts, šķiet, ir projekta 41. punkts, savukārt regulas 2021/2115 4. panta 5. punkta otrā daļa ir ieviesta, šķiet, projekta 39. un 42. punktā, nevis 41.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tabulā nav informācijas par vairāku normu ieviešanu, piemēram, regulas 2022/1173 7. panta 1.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regulas 2021/2115 III pielikuma ieviešanu tabulā ietverta vispārīga informācija (proti, norāde kopumā uz III pielikumu). Norādām, ka III pielikumam ir apakšvienības, un attiecīgi tabulā tām jābūt izdalītām, norādot konkrētu informāciju par to ieviešanu, kā arī tajās ietvertās rīcības brīvības izmantošanu (sk., piemēram, III pielikuma zemsvītras 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tabulā ailē par rīcības brīvības izmantošanu norādīts: "Regulas Nr. 2021/2115 4.panta 4.punktā ir ietvertas iespējas dalībvalstīm saistībā ar atbalsttiesīgu hektāru noteikšanu. Noteikumu projekta 6-28.punktā ir noteikti atbalsttiesīgas lauksaimniecības zemes nosacījumi." Vēršam uzmanību, ka augstāk tabulā pie projekta vienībām, kas pārņem minēto regulas normu, nav ietverti pilnībā visi minētie projekta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vai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Lauksaimnieks, kas Valsts ieņēmumu dienestā nav iesniedzis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minētos informāciju par iepriekšējo pārskata gadu, Lauku atbalsta dienestā iesniedz lauksaimnieciskās darbības izmaksu apliecinošu dokumentu fotokopijas par iepriekšējo gadu vai par nepārtrauktu 12 mēnešu laikposmu, kura sākuma termiņš nav agrāks par iepriekšējā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 "fotokopija" projektā aizstāt ar vārdu "kopija".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Tiešo maksājumu saņēmējs ievēro tās tiesību aktos noteiktās obligātās pārvaldības prasības, kas ietvertas šo noteikumu </w:t>
            </w:r>
            <w:r w:rsidR="00000000" w:rsidRPr="00000000" w:rsidDel="00000000">
              <w:rPr>
                <w:rtl w:val="0"/>
              </w:rPr>
              <w:t xml:space="preserve">8.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ietvertās prasības ir vispārsaistošas, lūdzam svītrot vārdu "obligātās" kā lieku.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Saskaņā ar </w:t>
            </w:r>
            <w:r w:rsidR="00000000" w:rsidRPr="00000000" w:rsidDel="00000000">
              <w:rPr>
                <w:rtl w:val="0"/>
              </w:rPr>
              <w:t xml:space="preserve">regulas 2022/126 48. panta 1. punktu</w:t>
            </w:r>
            <w:r w:rsidR="00000000" w:rsidRPr="00000000" w:rsidDel="00000000">
              <w:rPr>
                <w:rtl w:val="0"/>
              </w:rPr>
              <w:t xml:space="preserve"> ilggadīgo zālāju īpatsvara atsauces rādītājs 2023.gadam ir 24,64 procenti, kas iegūti, 2018. gada kopējo ilggadīgo zālāju platību 425 175 hektārus dalot ar kopējo lauksaimniecības zemes platību 1 725 395 hektāriem.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57. punktā ietvertais palīgteikums ("kas iegūti, [..]") ir liekvārdība, attiecīgi lūdzam svītrot un, ja nepieciešams, informāciju ietvert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116.1. valstspilsētas un Aizkraukles novads, Ādažu novads, Bauskas novads, Dienvidkurzemes novads, Dobeles novads, Jelgavas novads, Jēkabpils novads, Kuldīgas novads, Ķekavas novads, Limbažu novads, Līvānu novads, Mārupes novads, Ogres novads, Olaines novads, Preiļu novads, Ropažu novads, Salaspils novads, Saldus novads, Saulkrastu novads, Siguldas novads, Talsu novads, Tukuma novads, Valmieras novads, Varakļānu novads un Ventspils novads – novadi, kuri nerobežojas ar valstīm, kas nav Eiropas Savienības dalībvalstis, un kuros veģetācijas perioda ilgums ir vismaz 195 dienas vai lauksaimniecības zemes kvalitatīvais vērtējums ir vismaz 38 balles;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116.1. un 116.2. punktā ietvertā beigu daļa (pēc domuzīmes) ir vispārinājums, aicinām to novietot normas priekšpusē un attiecīgi pēc tam uzskaitīt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125.2. lauku saimniecības vadītājs un īpašnieks saimniecībai </w:t>
            </w:r>
            <w:r w:rsidR="00000000" w:rsidRPr="00000000" w:rsidDel="00000000">
              <w:rPr>
                <w:rtl w:val="0"/>
              </w:rPr>
              <w:t xml:space="preserve">regulas 2021/2115 3. panta 2. apakšpunktā</w:t>
            </w:r>
            <w:r w:rsidR="00000000" w:rsidRPr="00000000" w:rsidDel="00000000">
              <w:rPr>
                <w:rtl w:val="0"/>
              </w:rPr>
              <w:t xml:space="preserve"> noteiktajai saimniecībai un reāli un ilgstoši kontrolē saimniecības lēmumus kārtējā gadā, kad piesakās ienākumu papildatbalstam gados jauniem lauksaimniekiem;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125.2. apakšpunkta sākumā vārdus "lauku saimniecības" un "saimniecībai", jo tie ir lieki.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175.1. uzņemas divu gadu saistības neapart, nelobīt un neirdināt šim atbalstam pieteikto zālāju platību (lauku) divus gadus pēc kārtas;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"divu gadu", jo tie ir dublējoši.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Ja pārbaudēs ir konstatēts, ka atbalsta saņēmējs neatbilst atbalsta piešķiršanas kritērijiem, saistībām vai citiem atbalsta piešķiršanas nosacījumiem, atbalstu neizmaksā pilnībā vai daļēji.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"kritērijiem, saistībām vai citiem atbalsta piešķiršanas nosacījumiem" aizvietot ar vārdu "nosacījumiem", ņemot vērā, ka tie, šķiet, nozīmē vienu un to pašu un attiecīgi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informāciju par to, ka projekts aizstās noteikumus Nr.126, iekļaut anotācijas 1.3. sadaļā, nevis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5. sadaļas 1. tabula šobrīd ir grūti pārskatāma, aicinām anotācijas 5. sadaļas 1. tabulā katru Eiropas Savienības regulu izdalīt atsevišķā tabulas daļā un secīgi uzskaitīt konkrētās regulas ieviestās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22-TA-3815</w:t>
    </w:r>
    <w:r>
      <w:br/>
    </w:r>
    <w:r w:rsidR="00000000" w:rsidRPr="00000000" w:rsidDel="00000000">
      <w:rPr>
        <w:rtl w:val="0"/>
      </w:rPr>
      <w:t xml:space="preserve">Izdrukāts 08.03.2023. 11.19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22-TA-3815</w:t>
    </w:r>
    <w:r>
      <w:br/>
    </w:r>
    <w:r w:rsidR="00000000" w:rsidRPr="00000000" w:rsidDel="00000000">
      <w:rPr>
        <w:rtl w:val="0"/>
      </w:rPr>
      <w:t xml:space="preserve">Izdrukāts 08.03.2023. 11.19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Atzinumi_22-TA-3815.docx</dc:title>
</cp:coreProperties>
</file>

<file path=docProps/custom.xml><?xml version="1.0" encoding="utf-8"?>
<Properties xmlns="http://schemas.openxmlformats.org/officeDocument/2006/custom-properties" xmlns:vt="http://schemas.openxmlformats.org/officeDocument/2006/docPropsVTypes"/>
</file>