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Ministru kabineta noteikumu projektā "Grozījumi Ministru kabineta 2014. gada 11. februāra noteikumos Nr. 96 "Nodokļu un citu maksājumu reģistrēšanas elektronisko ierīču un iekārtu lietošanas kārtība"" (turpmāk – projekts) paredzētā regulējuma, kas saistīts ar reakciju uz personas izdarītajiem pārkāpumiem vai piemēroto administratīvo atbildību, pieļaujamību kontekstā ar administratīvās atbildības esību, kā arī šādu pasākumu atbilstību soda pazīmēm un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140. pantam ir paredzēta administratīvā atbildība par nodokļu un citu maksājumu reģistrēšanas elektronisko ierīču un iekārtu lietošanas prasību neievērošanu. Tā, piemēram, atbilstoši minētā panta otrajai daļai ir paredzēta administratīvā atbildība par normatīvajos aktos noteikto nodokļu un citu maksājumu reģistrēšanas elektronisko ierīču un iekārtu lietošanas kārtības un lietotāju pienākumu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11. februāra noteikumos Nr.96 "Nodokļu un citu maksājumu reģistrēšanas elektronisko ierīču un iekārtu lietošanas kārtība" (turpmāk – noteikumi) cita starpā ir noteikta nodokļu un citu maksājumu reģistrēšanas elektronisko ierīču un iekārtu lietošanas kārtība, nodokļu un citu maksājumu reģistrēšanas elektronisko ierīču un iekārtu lietotāju un apkalpojošo dienestu pienākumi, kā arī ir noteikta kārtība citos jautājumos. Proti, minētajos noteikumos ir noteikts regulējums, par kura neievērošanu personai var tikt piemērota administratīvā atbildība atbilstoši likuma "Par nodokļiem un nodevām" 140.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(piemēram, projekta 13. punkts) ir iecerēts paplašināt Valsts ieņēmumu dienesta tiesības gadījumos, kad personas neievēro normatīvajos aktos noteiktās prasības, paredzot Valsts ieņēmumu dienestam tiesības izslēgt no Valsts ieņēmumu dienesta vienotās datubāzes (reģistra) nodokļu maksātājam lietošanā reģistrēto elektronisko ierīci vai iekārtu, ja netiek ievērota šajos noteikumos noteiktā elektronisko ierīču un iekārtu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projektu ir iecerēts par tiesību normu neievērošanu paralēli administratīvā pārkāpuma procesam paredzēt arī administratīvi tiesiskus pasākumus. Nav atbalstāma prakse, kad par vienu un to pašu darbību vai bezdarbību pret personu var tikt uzsākti divi dažādi procesi (šajā gadījumā administratīvā pārkāpuma process un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projektā ietvertā regulējuma nepieciešamību, kā iespējamais risinājums varētu būt pārskatīt likumā "Par nodokļiem un nodevām" 140. pantā ietvertos administratīvos pārkāpumus un tajos gadījumos, kad ir nepieciešams, lai persona izpilda noteiktas normatīvo aktu prasības, paredzēt regulējumu tikai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process ir vērsts uz normatīvajos aktos noteikto prasību izpildi, un Administratīvā procesa likuma ietvaros ir pieejami tiesiskie instrumenti normatīvajos aktos noteikto prasību izpildei. Tā, piemēram, atbilstoši Administratīvā procesa likuma 368. panta pirmajai daļai administratīvo aktu, kas uzliek adresātam pienākumu izpildīt noteiktu darbību vai aizliedz izpildīt noteiktu darbību, izpilda piespiedu kārtā ar aizvietotājizpildes, piespiedu naudas vai tiešā spēka palīdzību. Savukārt administratīvais sods paredzams tikai tajos gadījumos, kad nepieciešams reaģēt uz kādu personas izdarītu pārkāpumu, kurš vairs nav novēršams un ir ar augstu bīstamības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sistemātiski aicina normatīvo aktu izstrādātājus neparedzēt administratīvo atbildību gadījumos, kad ir nepieciešams, lai personas izpildītu normatīvo aktu prasības, jo administratīvā atbildība nenodrošina normatīvajos aktos noteikto prasību izpildi, informējot, ka,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 skaidrojuma izriet, ka arī likuma "Par nodokļiem un nodevām" 140. pantā atsevišķi administratīvie pārkāpumi būtu izslēdzami, un normatīvo aktu prasību izpilde būtu efektīvāk īstenojama administratīvā procesa ietvaros, jo administratīvais sods nenodrošina normatīvajos aktos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projektā noteikto regulējumu, kas paredz par vienu un to pašu darbību vai bezdarbību paralēli administratīvā pārkāpuma procesam arī administratīvo procesu un attiecīgi nolemt, kura procesa ietvaros nodrošināt prasību izpildi. Tieslietu ministrija neatbalsta tādu regulējumu, kas paredz normatīvajos aktos noteiktā regulējuma prasību izpildi divos dažādos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projektā paredzētie pasākumi jau paši par sevi neatbilst soda raksturam. Anotācijā nav raksturota izslēgšanas no Valsts ieņēmumu dienesta vienotās datubāzes (reģistra) nozīme (ietekme, šāda pasākuma būtība). Tādā gadījumā attiecīgus pasākumus nemaz nav pieļaujams regulēt ar Ministru kabineta noteikumu palīdzību. Tāpat izvērtējama projektā paredzētā regulējuma, kas saistīts ar pārkāpumiem vai administratīvā pārkāpuma procesu, atbilstība likumā "Par nodokļiem un nodevām" esošajiem pilnvarojumiem. Iekārtu reģistrēšanas kārtība var ietvert tikai procesuālus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pielikumā noteikto kritēriju priekšrocību piemērošanai. Ministru kabinetam vispārīgi nav tiesību regulēt jautājumus, kas saistīti ar administratīvo atbildību, piemērotajiem sodiem vai personas sodāmību, it īpaši jau mainīt administratīvās sodāmības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atbilstoši Administratīvās atbildības likuma 116. pantam administratīvā pārkāpuma procesu cita starpā var uzsākt uz iesnieguma pamata. Attiecīgi saņemot iesniegumu, pret personu var tikt uzsākts administratīvā pārkāpuma process. Ievērojot minēto, aicinām rūpīgi izvērtēt, vai pret personu uzsākts administratīvā pārkāpuma process, kurš var tikt izbeigts, ir pieļaujams kritērijs priekšrocību piemērošanai, jo personai var tikt liegtas priekšrocības nepamatoti uzsākta procesa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 Ja lietotājam, kuram Valsts ieņēmumu dienesta noteiktajā nodokļu maksātāju reitinga kopējā novērtējumā ir noteikts augstākais reitinga līmenis iepriekšējo divpadsmit mēnešu laikā, un kurš atbilst šo noteikumu 6. pielikumā minētajiem kritērijiem, ir nepieciešams veikt izmaiņas Valsts ieņēmumu dienesta vienotajā datubāzē (reģistrā) reģistrētā un lietotājam uzstādītajā kases sistēmas programmā, kā rezultātā mainās kases sistēmas programmai aprēķinātā Hash SHA-256 kontrolsumma: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projekts ir izstrādāts, pamatojoties uz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noteikto pilnvarojumu Ministru kabinetam, proti, </w:t>
            </w:r>
            <w:r w:rsidR="00000000" w:rsidRPr="00000000" w:rsidDel="00000000">
              <w:rPr>
                <w:u w:val="single"/>
                <w:rtl w:val="0"/>
              </w:rPr>
              <w:t xml:space="preserve">Ministru kabinets nosaka elektronisko ierīču un iekārtu lietotājus un lietošanas kārtību, darījumus apliecinošo dokumentu veidus un rekvizītus, šo ierīču un iekārtu lietotāju un apkalpojošo dienestu pienākumus, kā arī kārtību, kādā elektroniskās ierīces un iekārtas, to lietotāji un apkalpojošie dienesti reģistrējami vienotajā datu bāzē (reģistrā), un to uzraudzības un kontroles kārtību, kā arī kārtību, kādā veic elektronisko ierīču un iekārtu atbilstības pārbaudi un apliecina to atbilstību normatīvajiem aktiem, kuri nosaka nodokļu un citu maksājumu reģistrēšanas elektronisko ierīču un iekārtu tehniskās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pilnvarojuma Ministru kabinetam </w:t>
            </w:r>
            <w:r w:rsidR="00000000" w:rsidRPr="00000000" w:rsidDel="00000000">
              <w:rPr>
                <w:u w:val="single"/>
                <w:rtl w:val="0"/>
              </w:rPr>
              <w:t xml:space="preserve">neizriet tiesības noteikt kases aparāta, hibrīda kases aparāta, kases sistēmas, specializētās ierīces vai iekārtas sertifikācijas priekšrocības, t.sk., attiecīgos kritērijus, kas ietverti projektā paredzētajā noteikumu 6. pielikumā</w:t>
            </w:r>
            <w:r w:rsidR="00000000" w:rsidRPr="00000000" w:rsidDel="00000000">
              <w:rPr>
                <w:rtl w:val="0"/>
              </w:rPr>
              <w:t xml:space="preserve">. Turklāt vēršam uzmanību uz to, ka normatīvā akta pielikumos ietver shēmas, tabulas u.tml., nevis regulējumu, kuru ietver normatīvā akta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 Tāpat </w:t>
            </w:r>
            <w:r w:rsidR="00000000" w:rsidRPr="00000000" w:rsidDel="00000000">
              <w:rPr>
                <w:u w:val="single"/>
                <w:rtl w:val="0"/>
              </w:rPr>
              <w:t xml:space="preserve">Ministru kabinets nevar ne paplašināt, ne sašaurināt likumdevēja noteikta pilnvarojuma apjomu</w:t>
            </w:r>
            <w:r w:rsidR="00000000" w:rsidRPr="00000000" w:rsidDel="00000000">
              <w:rPr>
                <w:rtl w:val="0"/>
              </w:rPr>
              <w:t xml:space="preserve">. Līdz ar to, lai papildinātu noteikumus ar jaunu regulējumu, nepieciešams attiecīgs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atbilstoši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noteiktajam pilnvarojumam Ministru kabinetam. Turklāt noteikumu grozījumus, ka neatbilst šobrīd spēkā esošajam pilnvarojumam Ministru kabinetam, lūdzam virzīt pēc tam, kad būs pieņemti attiecīgi grozījumi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Valsts ieņēmumu dienests 15 darbdienu laikā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rakstveidā informē lietotāju vai apkalpojošo dienestu vai atbilstības pārbaudes institūciju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iestādes izdotu </w:t>
            </w:r>
            <w:r w:rsidR="00000000" w:rsidRPr="00000000" w:rsidDel="00000000">
              <w:rPr>
                <w:u w:val="single"/>
                <w:rtl w:val="0"/>
              </w:rPr>
              <w:t xml:space="preserve">administratīvo aktu paziņo</w:t>
            </w:r>
            <w:r w:rsidR="00000000" w:rsidRPr="00000000" w:rsidDel="00000000">
              <w:rPr>
                <w:rtl w:val="0"/>
              </w:rPr>
              <w:t xml:space="preserve"> adresātam, nevis informē par to, ko lēmusi iestāde, lūdzam precizēt projektā paredzēto noteikumu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Valsts ieņēmumu dienests 15 darbdienu laikā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rakstveidā informē lietotāju vai apkalpojošo dienestu vai atbilstības pārbaudes institūciju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Paziņošanas likums nenoteic konkrētu termiņu, kādā jāpaziņo dokuments, tomēr tam jābūt saprātīgam, proti, 15 darbdienas dokumenta paziņošanai ir nesamērīgs termiņš, tādēļ lūdzam precizēt projektā paredzēto noteikumu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26</w:t>
            </w:r>
            <w:r w:rsidR="00000000" w:rsidRPr="00000000" w:rsidDel="00000000">
              <w:rPr>
                <w:rtl w:val="0"/>
              </w:rPr>
              <w:t xml:space="preserve"> Šo noteikumu 129.</w:t>
            </w:r>
            <w:r w:rsidR="00000000" w:rsidRPr="00000000" w:rsidDel="00000000">
              <w:rPr>
                <w:vertAlign w:val="superscript"/>
                <w:rtl w:val="0"/>
              </w:rPr>
              <w:t xml:space="preserve">14</w:t>
            </w:r>
            <w:r w:rsidR="00000000" w:rsidRPr="00000000" w:rsidDel="00000000">
              <w:rPr>
                <w:rtl w:val="0"/>
              </w:rPr>
              <w:t xml:space="preserve">, 129.</w:t>
            </w:r>
            <w:r w:rsidR="00000000" w:rsidRPr="00000000" w:rsidDel="00000000">
              <w:rPr>
                <w:vertAlign w:val="superscript"/>
                <w:rtl w:val="0"/>
              </w:rPr>
              <w:t xml:space="preserve">15</w:t>
            </w:r>
            <w:r w:rsidR="00000000" w:rsidRPr="00000000" w:rsidDel="00000000">
              <w:rPr>
                <w:rtl w:val="0"/>
              </w:rPr>
              <w:t xml:space="preserve"> un 129.</w:t>
            </w:r>
            <w:r w:rsidR="00000000" w:rsidRPr="00000000" w:rsidDel="00000000">
              <w:rPr>
                <w:vertAlign w:val="superscript"/>
                <w:rtl w:val="0"/>
              </w:rPr>
              <w:t xml:space="preserve">25</w:t>
            </w:r>
            <w:r w:rsidR="00000000" w:rsidRPr="00000000" w:rsidDel="00000000">
              <w:rPr>
                <w:rtl w:val="0"/>
              </w:rPr>
              <w:t xml:space="preserve"> punktā minētajos gadījumos pieņemtā lēmuma par izslēgšanu no Valsts ieņēmumu dienesta vienotās datubāzes (reģistra) pārsūdzēšana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360. panta otrā un trešā daļas noteic, ka </w:t>
            </w:r>
            <w:r w:rsidR="00000000" w:rsidRPr="00000000" w:rsidDel="00000000">
              <w:rPr>
                <w:u w:val="single"/>
                <w:rtl w:val="0"/>
              </w:rPr>
              <w:t xml:space="preserve">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3) administratīvais akts izdots saskaņā ar šā likuma 69. panta pirmās daļas noteikumiem.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iestādes lēmums ir apstrīdams un tikai tad pārsūdzams</w:t>
            </w:r>
            <w:r w:rsidR="00000000" w:rsidRPr="00000000" w:rsidDel="00000000">
              <w:rPr>
                <w:rtl w:val="0"/>
              </w:rPr>
              <w:t xml:space="preserve">, kā arī </w:t>
            </w:r>
            <w:r w:rsidR="00000000" w:rsidRPr="00000000" w:rsidDel="00000000">
              <w:rPr>
                <w:u w:val="single"/>
                <w:rtl w:val="0"/>
              </w:rPr>
              <w:t xml:space="preserve">noteikumi nav likums, kurā var paredzēt speciālu regulējumu</w:t>
            </w:r>
            <w:r w:rsidR="00000000" w:rsidRPr="00000000" w:rsidDel="00000000">
              <w:rPr>
                <w:rtl w:val="0"/>
              </w:rPr>
              <w:t xml:space="preserve">, lūdzam svītrot projektā paredzēto noteikumu. 129.</w:t>
            </w:r>
            <w:r w:rsidR="00000000" w:rsidRPr="00000000" w:rsidDel="00000000">
              <w:rPr>
                <w:vertAlign w:val="superscript"/>
                <w:rtl w:val="0"/>
              </w:rPr>
              <w:t xml:space="preserve">26</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datumu, kad tika pieņemti grozījumi likumā "Par nodokļiem un nodevām", kas paredzēja izslēgt regulējumu par Padziļinātās sadarbības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 Valsts ieņēmumu dienestam ir tiesības izslēgt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izstrādājot jaunu pilnvarojumu, savlaicīgi izsvērt nākotnes regulējuma saturu un gadījumā, </w:t>
            </w:r>
            <w:r w:rsidR="00000000" w:rsidRPr="00000000" w:rsidDel="00000000">
              <w:rPr>
                <w:u w:val="single"/>
                <w:rtl w:val="0"/>
              </w:rPr>
              <w:t xml:space="preserve">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r w:rsidR="00000000" w:rsidRPr="00000000" w:rsidDel="00000000">
              <w:rPr>
                <w:u w:val="single"/>
                <w:rtl w:val="0"/>
              </w:rPr>
              <w:t xml:space="preserve"> no likuma "Par nodokļiem un nodevām" 28.</w:t>
            </w:r>
            <w:r w:rsidR="00000000" w:rsidRPr="00000000" w:rsidDel="00000000">
              <w:rPr>
                <w:u w:val="single"/>
                <w:vertAlign w:val="superscript"/>
                <w:rtl w:val="0"/>
              </w:rPr>
              <w:t xml:space="preserve">1</w:t>
            </w:r>
            <w:r w:rsidR="00000000" w:rsidRPr="00000000" w:rsidDel="00000000">
              <w:rPr>
                <w:u w:val="single"/>
                <w:rtl w:val="0"/>
              </w:rPr>
              <w:t xml:space="preserve"> panta piektajā un sestajā daļā noteiktā pilnvarojuma Ministru kabinetam neizriet, ka Valts ieņēmumu dienests var izdot personai nelabvēlīgu administratīvo aktu, proti, noteikt nelabvēlīgu administratīvo aktu izdošanas kārtību, gadījumus, kuros izdod nelabvēlīgus administratīvos aktus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paredzētā noteikumu 129.</w:t>
            </w:r>
            <w:r w:rsidR="00000000" w:rsidRPr="00000000" w:rsidDel="00000000">
              <w:rPr>
                <w:vertAlign w:val="superscript"/>
                <w:rtl w:val="0"/>
              </w:rPr>
              <w:t xml:space="preserve">22</w:t>
            </w:r>
            <w:r w:rsidR="00000000" w:rsidRPr="00000000" w:rsidDel="00000000">
              <w:rPr>
                <w:rtl w:val="0"/>
              </w:rPr>
              <w:t xml:space="preserve"> 129.</w:t>
            </w:r>
            <w:r w:rsidR="00000000" w:rsidRPr="00000000" w:rsidDel="00000000">
              <w:rPr>
                <w:vertAlign w:val="superscript"/>
                <w:rtl w:val="0"/>
              </w:rPr>
              <w:t xml:space="preserve">23</w:t>
            </w:r>
            <w:r w:rsidR="00000000" w:rsidRPr="00000000" w:rsidDel="00000000">
              <w:rPr>
                <w:rtl w:val="0"/>
              </w:rPr>
              <w:t xml:space="preserve"> un 129.</w:t>
            </w:r>
            <w:r w:rsidR="00000000" w:rsidRPr="00000000" w:rsidDel="00000000">
              <w:rPr>
                <w:vertAlign w:val="superscript"/>
                <w:rtl w:val="0"/>
              </w:rPr>
              <w:t xml:space="preserve">24</w:t>
            </w:r>
            <w:r w:rsidR="00000000" w:rsidRPr="00000000" w:rsidDel="00000000">
              <w:rPr>
                <w:rtl w:val="0"/>
              </w:rPr>
              <w:t xml:space="preserve"> punkta atbilstību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noteiktajam pilnvarojumam Ministru kabinetam un paredzēt attiecīgus grozījumus likumā "Par nodokļiem un nodevām", kad likumā "Par nodokļiem un nodevām" tiks izstrādāti citi grozījumi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12.02.2025.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12.02.2025.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