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devējs, saņemot Centra pieprasījumu par datu devēja pārziņā esošu datu izsniegšanu, neveic datu pieprasījuma tiesiskuma un samērīguma izvērtējumu un nav atbildīgs par personas datu apjomu un tiesiskumu, ko pieprasa Centrs. Datu devējam par tiesisko pamatu personas datu nodošanai Centram kalpo Centra izdots administratīvais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izpratnē ar tiesisko pamatu personas datu apstrādei tiek saprasts Datu regulas 6. pants, attiecīgi tajā ir izsmeļoši uzskaitīti tiesiskie pamati personas datu apstrādei.Viens no kuriem ir 6.p.1.e) apakšpunkts, kas paredz iespēju datus apstrādāt sabiedrībās interesēs vai īstenojot pārzinim likumīgi piešķirtās oficiālās pilnvaras. Mākslīgā intelekta centra likuma 9.panta pirmā un otrā daļa noteic Centram tiesības konkrētiem mērķiem apstrādāt personas datus. Šī likuma norma arī ir tiesiskais pamats personas datu apstrādei regulatīvajā vidē.  Centra izdotais administratīvais akts nevar būs personas datu apstrādes tiesiskais pamats, jo tiesiskais pamats ir jau noteikts likumā. Līdz ar to lūdzam dzēst 14.panta otro teikumu. Lai novērstu bažas par tieskisko pamatu, var ar šo skaidrojumu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pirmo teikumu,norādām,ka datu devējs nevar būt atbildīgs par personas datu apjomu un tiesiskumu, ko pieprasa Centrs, jo tieši Centrs un regulatīvā vide pēc datu iegūšanas būs pārzinis, kas par šiem datiem ir atbildīgs. Līdz ar to šādam regulējumam nav loģiskās un saturiskās slodzes. Datu devējs kā pārzinis ir atbildīgs par to, lai dati tikti nodoti uz attiecīgā tiesiskā pamata un atbilstoši nepieciešamajām apjomam, t.i. datu devējam jābūt pietiekami pieradījumu un pārliecības, ka datu nodošana ir tiesiskā. Tāpēc datu devējam ir tiesības iegūt informāciju par to kādām nolūkam dati tiks izmantoit, uz kāda tiesiskā pamata, kādā apjomā. Un šiem visiem noteikumiem jābūt iekļautiem pieprasījumā. Ja minētā informācija netiks sniegta datu devējam, tam nav tiesību izsniegt datus. Līdz ar to šajā normā būtu jānosaka, kas ir norādāms pieprasījumā, lai datu devējs varētu saprast,ka tam ir tiesības izsniegt datus. Normā būtu jānorada, ka datu devējs atbilstoši Centra iesniegtajam pieprasījumam, kurā ir noradīts datu apstrādes tiesiskais pamats, nolūks, apjoms, kā arī cita nepieciešamā tehniska informācija, lai varētu nodrošināt datu izsniegšanu regulatīvai videi, izsniedz Centram pieprasītos datus.  Ja datu devējs atteiksies to darīt, tad iesāks darboties 15.punkta noteikumi. Turklāt , atbilstoši 12.punktam, Centrs pirms datu pieprasījuma jau prasīs datu devēja atzinumu, kurā tad datu devējs arī sniegs savu nostāju. Līdz ar to jau pirms pieprasījuma sastādīšanas visām iesaistītām institūcijām būs iespēja izvērtēt samērīgumu un nepieciešamo datu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atbilstoši Centra iesniegtajam pieprasījumam, kurā ir noradīts personas datu apstrādes tiesiskais pamats, nolūks, apjoms, kā arī cita nepieciešamā tehniska informācija, lai varētu nodrošināt datu izsniegšanu regulatīvai videi, izsniedz Centram pieprasītos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risinājuma apraksta 2. punkta "DVI" papildināt sadaļu, kur norādītas DVI kompetences, norādot, ka DVI var arī </w:t>
            </w:r>
            <w:r w:rsidR="00000000" w:rsidRPr="00000000" w:rsidDel="00000000">
              <w:rPr>
                <w:u w:val="single"/>
                <w:rtl w:val="0"/>
              </w:rPr>
              <w:t xml:space="preserve">apturēt</w:t>
            </w:r>
            <w:r w:rsidR="00000000" w:rsidRPr="00000000" w:rsidDel="00000000">
              <w:rPr>
                <w:rtl w:val="0"/>
              </w:rPr>
              <w:t xml:space="preserve"> personas datu apstrādi regulatīvajā vidē, tādējādi saskaņojot anotācijā minēto informāciju ar noteikumu projekta 17.2.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