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 prioritātes “Reģionu līdzsvarota attīstība”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5.1 prioritātes “Reģionu līdzsvarota attīstība”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pēc būtības saskaņo noteikumu projektu un atbalsta projekta tālāku virzību, vienlaikus izsakot šādu priekšlikumu. Vēlamies akcentēt teritorijas labiekārtošanas būtisko lomu tūrisma veicināšanā, jo īpaši vietējā tūrismā reģionos. Tādēļ aicinām nodrošināt, ka noteikumu ietvaros tiek nodrošināta arī tūrisma infrastruktūras uzlabošana - vietējā un starptautiskā, tas nozīmē tūrisma objektu pieejamība un rekreācijas infrastruktūras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Lūka - Ruskulova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26.01.2023.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26.01.2023.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