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sniegto informāciju par plānoto projektu iesniegumu atlases uzsaukuma procesu t.i. vai tas plānots atbilstoši Iekšlietu ministrijas izstrādātajam 2025.gada 3.jūnija Ministru kabineta (turpmāk – MK) rīkojumam Nr. 316 “Par civilās aizsardzības mērķiem pielāgojamajiem un aprīkojamajiem objektiem (patvertnēm)” (turpmāk - rīkojums) ir noteiktajai kārtībai, vai arī plānots virzīt izmaiņas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sadaļu “Pašreizējā situācija, problēmas un risinājumi” ar informāciju vai ierosinātajiem grozījumiem ir ietekme uz Eiropas Savienības kohēzijas politikas programmas 2021.–2027. gadam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vai izstrādātie grozījumi nav uzskatāmi par būtiskiem, tas ir tādi, kas ietekmē darbības veidu, mērķus vai īstenošanas nosacījumus, tādējādi traucējot tās sākotnējo mērķu sasniegšanu. Tāpat, tā kā ar noteikumu projektu noteikumi tiek papildināti ar sadarbības partneru regulējumu un projekta iesniegumu atlase ir noslēgusies, lūdzam anotācijas ietvaros ietvert skaidrojumu,  kā tiks izvērtēti sadarbības partneri atbilstoši Eiropas Savienības fondu prasībām, jo šobrīd projekta iesniegumu nolikums neparedz nosacījumus attiecībā uz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anotāciju ar informāciju vai civiltiesiskā līguma vai vienošanās par projekta īstenošanu būs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Projekta iesniedzējs, slēdzot sadarbības līgumu, var piesaistīt sadarbības partnerus. Sadarbības līgumā iekļauj informāciju atbilstoši normatīvajiem aktiem par kārtību, kādā Eiropas Savienības fondu vadībā iesaistītās institūcijas nodrošina šo fondu ieviešanu Eiropas Savienības kohēzijas politikas programmas 2021.–2027. gadam plānošanas periodā, kā arī nosaka finansējuma saņēmēja un sadarbības partnera sadarbības nosacījumus, pienākumus un tiesības, projekta mērķu un rādītāju savstarpējās sasniegšanas dalījumu un citus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2023. gada 13. jūlija noteikumu Nr.408 “Kārtība, kādā Eiropas Savienības fondu vadībā iesaistītās institūcijas nodrošina šo fondu ieviešanu 2021.–2027. gada plānošanas periodā” (turpmāk - MK noteikumi Nt.408) 3.1. apakšpunkta izriet, ka finansējuma saņēmējs, saglabājot atbildību par projekta īstenošanu, mērķu sasniegšanu, izdevumu attiecināmību, kā arī maksājumu veikšanu un iepirkuma procedūras veikšanu, var projekta īstenošanā piesaistīt sadarbības partneri, ja sadarbības partneris atbilst prasībām, kas noteiktas normatīvajā aktā par specifiskā atbalsta mērķa īstenošanu. Tādējādi, lūdzam noteikumu projektu papildināt ar skaidru regulējumu, tieši kādi subjekti būs sadarbības partneri, ja tie tiks piesaistīti, līdzīgi kā noteikumu noteikumu 20.punktā attiecībā uz projekta iesniedzēju. Tāpat vēršam uzmanību, ka Ministru kabineta noteikumos par specifisko atbalsta mērķis nav jādublē MK noteikumu Nr.408 6.punktā noteiktais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tiešās attiecināmās izmaksas, kas ir tieši saistītas ar projekta īstenošanu un nepieciešamas telpu pārbūvei vai atjaunošanai un aprīkošanai atbilstoši III kategorijas patvertnes funkcionālajām prasībām,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(piemēram, 24.,25. un 26.punktā)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un nepieciešamību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w:t>
            </w:r>
            <w:r w:rsidR="00000000" w:rsidRPr="00000000" w:rsidDel="00000000">
              <w:rPr>
                <w:i w:val="1"/>
                <w:rtl w:val="0"/>
              </w:rPr>
              <w:t xml:space="preserve">de minimis</w:t>
            </w:r>
            <w:r w:rsidR="00000000" w:rsidRPr="00000000" w:rsidDel="00000000">
              <w:rPr>
                <w:rtl w:val="0"/>
              </w:rPr>
              <w:t xml:space="preserve"> atbalstu piešķir, ievērojot regulas </w:t>
            </w:r>
            <w:r w:rsidR="00000000" w:rsidRPr="00000000" w:rsidDel="00000000">
              <w:rPr>
                <w:rtl w:val="0"/>
              </w:rPr>
              <w:t xml:space="preserve">2023/2831</w:t>
            </w:r>
            <w:r w:rsidR="00000000" w:rsidRPr="00000000" w:rsidDel="00000000">
              <w:rPr>
                <w:rtl w:val="0"/>
              </w:rPr>
              <w:t xml:space="preserve"> 1. panta 1. punktā minētos nozaru un darbības ierobežojumus. Ja komersants vienlaikus darbojas vienā vai vairākās nozarēs vai veic citas darbības, kas neietilpst regulas </w:t>
            </w:r>
            <w:r w:rsidR="00000000" w:rsidRPr="00000000" w:rsidDel="00000000">
              <w:rPr>
                <w:rtl w:val="0"/>
              </w:rPr>
              <w:t xml:space="preserve">2023/2831</w:t>
            </w:r>
            <w:r w:rsidR="00000000" w:rsidRPr="00000000" w:rsidDel="00000000">
              <w:rPr>
                <w:rtl w:val="0"/>
              </w:rPr>
              <w:t xml:space="preserve"> darbības jomā, tas nodrošina šo nozaru darbību vai izmaksu nodalīšanu saskaņā ar regulas </w:t>
            </w:r>
            <w:r w:rsidR="00000000" w:rsidRPr="00000000" w:rsidDel="00000000">
              <w:rPr>
                <w:rtl w:val="0"/>
              </w:rPr>
              <w:t xml:space="preserve">2023/2831</w:t>
            </w:r>
            <w:r w:rsidR="00000000" w:rsidRPr="00000000" w:rsidDel="00000000">
              <w:rPr>
                <w:rtl w:val="0"/>
              </w:rPr>
              <w:t xml:space="preserve">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skaidru un vienotu terminoloģiju, un, ņemot vērā, ka MK noteikumu 29.1. apakšpunktā noteiktais nosacījums attiecas uz projekta iesniedzēju un sadarbības partneri, lūdzam, pirmkārt, MK noteikumu 29.1. apakšpunktā vārdu "komersants" aizstāt ar "projekta iesniedzējs un sadarbības partneris". Otrkārt, pēc analoģijas lūdzam precizēt arī MK noteikumu 29.2. apakšpunktu, jo šajā punktā noteiktais nosacījums tiek vērtēts vēl pirms projekta iesniedzējam vai sadarbības partnerim tiek piešķirts komercdarbības atbalsts, tādējādi termina "atbalsta saņēmējs" lietošana šajā gadījumā nav atbilstoša. Treškārt, lai izvairītos no interpretācijas iespējas, ka attiecībā uz sadarbības partneri vēl tiek vērtēts, vai tiek/netiek piešķirts de minimis atbalsts, lūdzam no MK noteikumu 29. panta ievaddaļas svītrot vārdus un iekavas "(ja attiecināms)", jo MK noteikumi nosaka, ka gan projekta iesniedzējam, gan sadarbības partnerim tiks piešķirts de minimis atbalsts, ja tas projektā iekļautajā objektā veic vai pēc projekta īstenošanas plāno veikt saimniecisko darbību. Ceturtkārt, ņemot vērā, ka pasākuma ietvaros tiek sniegts atbalsts ar saimniecisku darbību nesaistītiem projektiem, lūdzam papildināt MK noteikumus ar normu, kas nosaka, ka finansējuma saņēmējs un sadarbības partneris nodrošinās atsevišķa darījumu ieņēmumu un izdevumu grāmatvedības uzskaiti, kā arī darbību un ar to īstenošanu saistīto finanšu plūsmu nodalīšanu, lai saimnieciska rakstura darbības negūtu labumu no publiskajiem līdzekļiem, kas piešķirti ar saimniecisku darbību nesaistītām darbībām (piedāvājam ar papildus teikumu papildināt MK noteikumu 29.1. apakšpunktu), kā arī, piektkārt, ņemot vērā to, ka MK noteikumu ietvaros tiek paredzēta iespēja piesaistīt sadarbības partnerus un tiem tiek sniegts atbalsts, tad lūdzam MK noteikumu 40. punktā noteikto pienākumu attiecināt arī uz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MK noteikumu sākotnējā anotācijā ir skaidrots, ka “Pasākuma ietvaros atbalsts tiek sniegts ar saimniecisko darbību nesaistītiem projektiem un projektiem, kas ir saistīti ar saimniecisku darbību, kurai sniegtais atbalsts ir kvalificējams kā komercdarbības atbalsts”, proti, ka tikai gadījumā, kad vienlaikus izpildās visas valsts atbalsta pazīmes, kas uzskaitītas arī Komercdarbības atbalsta kontroles likuma 5.pantā, tiktu piemērots de minimis atbalsts, aicinām pārskatīt MK noteikumus, jo šobrīd tie ir stingrāki. Piedāvājam, tostarp, precizēt MK noteikumu 29. punkta ievaddaļu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Komercdarbības atbalstu projekta iesniedzējam un sadarbības partnerim, kas projektā iekļautajā objektā veic vai pēc projekta īstenošanas plāno veikt saimniecisko darbību, kurai sniegtais atbalsts ir kvalificējams kā komercdarbības atbalsts, par šo noteikumu 24. punktā minētajām izmaksām sniedz saskaņā ar Komisijas 2023. gada 13. decembra Regulu (ES) 2023/2831 par Līguma par Eiropas Savienības darbību 107. un 108. panta piemērošanu de minimis atbalstam (turpmāk – regula​ 2023/2831),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nodrošina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pantu un normatīvajiem aktiem publisko iepirkumu jomā,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MK noteikumu Nr.318 42.4. apakšpunktā ietvertās atsauces uz Eiropas Parlamenta un Padomes 2024. gada 23. septembra Regulas (ES, Euratom) 2024/2509 par finanšu noteikumiem, ko piemēro Savienības vispārējam budžetam (pārstrādātā redakcija)  61. pantu pamatotību, jo skaidrojam, ka minētais regulējums ir tieši piemērojamas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Grozījumi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piemērojami vienādi visiem projektiem, kas iesniegti, sākot no 2025. gada 11. jūnija.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normatīvajos aktos ietvaros ietvertajai tiesību normai ir jābūt skaidrai un nepārprotamai, lūdzam precizēt noteikumu projekta 17.punktā izteikto 46.punktu vai to skaidrot ņemot vērā, ka kā piemēram grozījumi, kas skar sadarbības partnerus ir ietverti arī citos punktos, kā piemēram izteiktajā MK noteikumu Nr.318 29.punktā, 42. punktā un 44.punktā.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11.02.2026. 21.14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11.02.2026. 21.14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Atzinumi_26-TA-247.docx</dc:title>
</cp:coreProperties>
</file>

<file path=docProps/custom.xml><?xml version="1.0" encoding="utf-8"?>
<Properties xmlns="http://schemas.openxmlformats.org/officeDocument/2006/custom-properties" xmlns:vt="http://schemas.openxmlformats.org/officeDocument/2006/docPropsVTypes"/>
</file>