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rīcības plānu administratīvā sloga mazināšanai nekustamo īpašumu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3.2.1. punkta piektā rindkopa par ceļu stāvokļa neatbilstību teritorijas plānojuma atļautajai izmantošanai pārsniedz teritorijas attīstības plānošanas tvērumu – teritorijas plānojums un lokālplānojums ir ilgtermiņa attīstības plānošanas dokumenti (līdz 25 gadiem), kam nav saistības ar ceļu tehnisko stāvokli (tie var tikt izbūvēti / laboti / likvidēti neatkarīgi no plānošanas dokumentā ietvertās atļautās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pašvaldības nav tiesīgas izvirzīt prasību par centralizēto ūdenssaimniecības tīklu izbūvi, jo to izbūve ir pašvaldības autonomajās funkcijās (pašvaldība ir tiesīga prasīt pieslēgties centralizētajiem tīkliem, bet ne tos izbūvēt). Lūdzam precizēt vai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3.2.1.4. punktu. Aizsargjoslu likuma 33.panta pirmā daļa noteic, ka aizsargjoslas nosaka ar šo likumu un normatīvajos aktos noteiktajā kārtībā attēlo teritorijas plānojumos. Minētais attiecās arī uz ūdensteču un ūdenstilpju aizsargjoslām, tai skaitā arī uz applūstošo teritoriju noteikšanu. Šis jautājums būtu risināms stiedzami , veicot grozījumus Ministru kabineta 2008.gada 3.jūnija noteikumos Nr.406 "Virszemes ūdensobjektu aizsargjoslu noteikšanas metodika" . Lūdzam vērst uz to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samērīgāku termiņu 5.4.1.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apvienoto novadu pašvaldības izstrādā jaunos teritorijas plānojumus un atbilstoši Administratīvo teritoriju un apdzīvoto vietu likuma pārejas noteikumu 17. punktam šie teritorijas plānojumi jāizstrādā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5.4.1. punktā minētā informācija pašvaldībām nepieciešama jau šobrīd. Tādēļ lūdzam  minēto termiņu noteikt 01.09.2024. (esošā 01.06.2025.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iebildums, izriet no esošās pieredzes, ka ja iedzīvotājiem netiek dota adekvāta iespēja paust savu viedokli vai ja šīs iespējas netiek pienācīgi izmantotas, tas var radīt neapmierinātību un uzticības zudumu pret lēmumu pieņēmējiem. Tas var novest pie tā, ka iedzīvotāji izmanto alternatīvas metodes savu viedokļu paušanai, kas var būt mazāk konstruktīvas un grūtāk pārvaldāmas. Savukārt neapmierinātības gadījumā pašvaldībai un citām iesaistītām institūcijām var rasties nepieciešamība pēc papildu resursiem, lai rīkotu individuālas tikšanās, atbildētu uz sūdzībām un veiktu papildu informatīvo darbu.  Sabiedrības neiesaiste var būtiski palielināt administratīvo slogu un radīt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darba grupā piedāvāto uzdevuma formulējumu pēc būtības, šādi precizējot 8.4.1.: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normatīvo regulējumu </w:t>
            </w:r>
            <w:r w:rsidR="00000000" w:rsidRPr="00000000" w:rsidDel="00000000">
              <w:rPr>
                <w:strike w:val="1"/>
                <w:rtl w:val="0"/>
              </w:rPr>
              <w:t xml:space="preserve">teritorijas plānošanas jomā,</w:t>
            </w:r>
            <w:r w:rsidR="00000000" w:rsidRPr="00000000" w:rsidDel="00000000">
              <w:rPr>
                <w:rtl w:val="0"/>
              </w:rPr>
              <w:t xml:space="preserve"> </w:t>
            </w:r>
            <w:r w:rsidR="00000000" w:rsidRPr="00000000" w:rsidDel="00000000">
              <w:rPr>
                <w:b w:val="1"/>
                <w:u w:val="single"/>
                <w:rtl w:val="0"/>
              </w:rPr>
              <w:t xml:space="preserve">rodot risinājumu </w:t>
            </w:r>
            <w:r w:rsidR="00000000" w:rsidRPr="00000000" w:rsidDel="00000000">
              <w:rPr>
                <w:strike w:val="1"/>
                <w:rtl w:val="0"/>
              </w:rPr>
              <w:t xml:space="preserve">pare</w:t>
            </w:r>
            <w:r w:rsidR="00000000" w:rsidRPr="00000000" w:rsidDel="00000000">
              <w:rPr>
                <w:rtl w:val="0"/>
              </w:rPr>
              <w:t xml:space="preserve">dzot, ka ceļi</w:t>
            </w:r>
            <w:r w:rsidR="00000000" w:rsidRPr="00000000" w:rsidDel="00000000">
              <w:rPr>
                <w:b w:val="1"/>
                <w:u w:val="single"/>
                <w:rtl w:val="0"/>
              </w:rPr>
              <w:t xml:space="preserve">em</w:t>
            </w:r>
            <w:r w:rsidR="00000000" w:rsidRPr="00000000" w:rsidDel="00000000">
              <w:rPr>
                <w:rtl w:val="0"/>
              </w:rPr>
              <w:t xml:space="preserve">, kas izveidoti, būvējot privātmāju ciemat</w:t>
            </w:r>
            <w:r w:rsidR="00000000" w:rsidRPr="00000000" w:rsidDel="00000000">
              <w:rPr>
                <w:b w:val="1"/>
                <w:u w:val="single"/>
                <w:rtl w:val="0"/>
              </w:rPr>
              <w:t xml:space="preserve">us</w:t>
            </w:r>
            <w:r w:rsidR="00000000" w:rsidRPr="00000000" w:rsidDel="00000000">
              <w:rPr>
                <w:rtl w:val="0"/>
              </w:rPr>
              <w:t xml:space="preserve">.</w:t>
            </w:r>
            <w:r w:rsidR="00000000" w:rsidRPr="00000000" w:rsidDel="00000000">
              <w:rPr>
                <w:b w:val="1"/>
                <w:u w:val="single"/>
                <w:rtl w:val="0"/>
              </w:rPr>
              <w:t xml:space="preserve"> Kā vienu no risinājumiem vērtēt šo ceļu</w:t>
            </w:r>
            <w:r w:rsidR="00000000" w:rsidRPr="00000000" w:rsidDel="00000000">
              <w:rPr>
                <w:rtl w:val="0"/>
              </w:rPr>
              <w:t xml:space="preserve"> piekritīgu</w:t>
            </w:r>
            <w:r w:rsidR="00000000" w:rsidRPr="00000000" w:rsidDel="00000000">
              <w:rPr>
                <w:b w:val="1"/>
                <w:u w:val="single"/>
                <w:rtl w:val="0"/>
              </w:rPr>
              <w:t xml:space="preserve">mu</w:t>
            </w:r>
            <w:r w:rsidR="00000000" w:rsidRPr="00000000" w:rsidDel="00000000">
              <w:rPr>
                <w:rtl w:val="0"/>
              </w:rPr>
              <w:t xml:space="preserve"> pašvaldībai un</w:t>
            </w:r>
            <w:r w:rsidR="00000000" w:rsidRPr="00000000" w:rsidDel="00000000">
              <w:rPr>
                <w:strike w:val="1"/>
                <w:rtl w:val="0"/>
              </w:rPr>
              <w:t xml:space="preserve"> ir</w:t>
            </w:r>
            <w:r w:rsidR="00000000" w:rsidRPr="00000000" w:rsidDel="00000000">
              <w:rPr>
                <w:rtl w:val="0"/>
              </w:rPr>
              <w:t xml:space="preserve"> nodošanu tai bezatlīdzībā, </w:t>
            </w:r>
            <w:r w:rsidR="00000000" w:rsidRPr="00000000" w:rsidDel="00000000">
              <w:rPr>
                <w:b w:val="1"/>
                <w:u w:val="single"/>
                <w:rtl w:val="0"/>
              </w:rPr>
              <w:t xml:space="preserve">ja vienlaikus tiek noteikts, ka privātmāju ciemata īpašniekiem ir pienākums finansēt šo</w:t>
            </w:r>
            <w:r w:rsidR="00000000" w:rsidRPr="00000000" w:rsidDel="00000000">
              <w:rPr>
                <w:rtl w:val="0"/>
              </w:rPr>
              <w:t xml:space="preserve">. </w:t>
            </w:r>
            <w:r w:rsidR="00000000" w:rsidRPr="00000000" w:rsidDel="00000000">
              <w:rPr>
                <w:strike w:val="1"/>
                <w:rtl w:val="0"/>
              </w:rPr>
              <w:t xml:space="preserve">LPS norāda, ka obligāti risināms jautājums par </w:t>
            </w:r>
            <w:r w:rsidR="00000000" w:rsidRPr="00000000" w:rsidDel="00000000">
              <w:rPr>
                <w:rtl w:val="0"/>
              </w:rPr>
              <w:t xml:space="preserve">ceļu uzturēšanu</w:t>
            </w:r>
            <w:r w:rsidR="00000000" w:rsidRPr="00000000" w:rsidDel="00000000">
              <w:rPr>
                <w:strike w:val="1"/>
                <w:rtl w:val="0"/>
              </w:rPr>
              <w:t xml:space="preserve">/uzturēšanas finansēšanu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uzdevumā esošā problemātika attiecas ne tikai uz Dzīvokļu īpašumos sadalītām ēkām, bet arī uz citām dzīvojamajām ēkām. Turklāt Dzīvokļa īpašums  nenozīmē, ka tā ir tikai dzīvojamā ēka vai telpu grupa, bet arī nedzīvojamā ēka un nedzīvojamā telpu grupa. Turklāt tā nav teorija, bet prakse! tāpēc lūdzam precizēt 8.3.1 uzdevumu, to attiecinot uz visām īpašumu formām: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w:t>
            </w:r>
            <w:r w:rsidR="00000000" w:rsidRPr="00000000" w:rsidDel="00000000">
              <w:rPr>
                <w:b w:val="1"/>
                <w:u w:val="single"/>
                <w:rtl w:val="0"/>
              </w:rPr>
              <w:t xml:space="preserve">normatīvos aktus</w:t>
            </w:r>
            <w:r w:rsidR="00000000" w:rsidRPr="00000000" w:rsidDel="00000000">
              <w:rPr>
                <w:rtl w:val="0"/>
              </w:rPr>
              <w:t xml:space="preserve"> </w:t>
            </w:r>
            <w:r w:rsidR="00000000" w:rsidRPr="00000000" w:rsidDel="00000000">
              <w:rPr>
                <w:strike w:val="1"/>
                <w:rtl w:val="0"/>
              </w:rPr>
              <w:t xml:space="preserve">Dzīvokļa īpašuma likumu</w:t>
            </w:r>
            <w:r w:rsidR="00000000" w:rsidRPr="00000000" w:rsidDel="00000000">
              <w:rPr>
                <w:rtl w:val="0"/>
              </w:rPr>
              <w:t xml:space="preserve">, paredzot iespēju izveidot (noteikt) kopīpašuma daļā neietilpstošus funkcionāli saistītus objektus </w:t>
            </w:r>
            <w:r w:rsidR="00000000" w:rsidRPr="00000000" w:rsidDel="00000000">
              <w:rPr>
                <w:b w:val="1"/>
                <w:u w:val="single"/>
                <w:rtl w:val="0"/>
              </w:rPr>
              <w:t xml:space="preserve">(FSO),</w:t>
            </w:r>
            <w:r w:rsidR="00000000" w:rsidRPr="00000000" w:rsidDel="00000000">
              <w:rPr>
                <w:rtl w:val="0"/>
              </w:rPr>
              <w:t xml:space="preserve"> kas ir funkcionāli saistīti ar konkrētu </w:t>
            </w:r>
            <w:r w:rsidR="00000000" w:rsidRPr="00000000" w:rsidDel="00000000">
              <w:rPr>
                <w:strike w:val="1"/>
                <w:rtl w:val="0"/>
              </w:rPr>
              <w:t xml:space="preserve">dzīvokļa</w:t>
            </w:r>
            <w:r w:rsidR="00000000" w:rsidRPr="00000000" w:rsidDel="00000000">
              <w:rPr>
                <w:rtl w:val="0"/>
              </w:rPr>
              <w:t xml:space="preserve"> īpašumu un kas var atsevišķi būt par civiltiesiskās apgrozības objektu (tikai </w:t>
            </w:r>
            <w:r w:rsidR="00000000" w:rsidRPr="00000000" w:rsidDel="00000000">
              <w:rPr>
                <w:strike w:val="1"/>
                <w:rtl w:val="0"/>
              </w:rPr>
              <w:t xml:space="preserve">dzīvojamās mājas</w:t>
            </w:r>
            <w:r w:rsidR="00000000" w:rsidRPr="00000000" w:rsidDel="00000000">
              <w:rPr>
                <w:rtl w:val="0"/>
              </w:rPr>
              <w:t xml:space="preserve">  </w:t>
            </w:r>
            <w:r w:rsidR="00000000" w:rsidRPr="00000000" w:rsidDel="00000000">
              <w:rPr>
                <w:b w:val="1"/>
                <w:u w:val="single"/>
                <w:rtl w:val="0"/>
              </w:rPr>
              <w:t xml:space="preserve">kop</w:t>
            </w:r>
            <w:r w:rsidR="00000000" w:rsidRPr="00000000" w:rsidDel="00000000">
              <w:rPr>
                <w:rtl w:val="0"/>
              </w:rPr>
              <w:t xml:space="preserve">īpašnieku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Ja nepieciešams, </w:t>
            </w:r>
            <w:r w:rsidR="00000000" w:rsidRPr="00000000" w:rsidDel="00000000">
              <w:rPr>
                <w:rtl w:val="0"/>
              </w:rPr>
              <w:t xml:space="preserve">grozīt Nekustamā īpašuma valsts kadastra likumu un likumu Par Nekustamā īpašuma ierakstīšanu zemesgrāmatā, Zemesgrāmatu likumu, pieļaujot FSO civiltiesisko apgrozību </w:t>
            </w:r>
            <w:r w:rsidR="00000000" w:rsidRPr="00000000" w:rsidDel="00000000">
              <w:rPr>
                <w:strike w:val="1"/>
                <w:rtl w:val="0"/>
              </w:rPr>
              <w:t xml:space="preserve">dzīvokļu</w:t>
            </w:r>
            <w:r w:rsidR="00000000" w:rsidRPr="00000000" w:rsidDel="00000000">
              <w:rPr>
                <w:rtl w:val="0"/>
              </w:rPr>
              <w:t xml:space="preserve"> īpašnieku starpā, </w:t>
            </w:r>
            <w:r w:rsidR="00000000" w:rsidRPr="00000000" w:rsidDel="00000000">
              <w:rPr>
                <w:b w:val="1"/>
                <w:u w:val="single"/>
                <w:rtl w:val="0"/>
              </w:rPr>
              <w:t xml:space="preserve">un nodrošinot FSO automātiskus un mašīnlasāmus sasaistes datus par īpašumu, tā objektiem, īpašniekiem un konkrēto FSO un tā īpašniekiem</w:t>
            </w:r>
            <w:r w:rsidR="00000000" w:rsidRPr="00000000" w:rsidDel="00000000">
              <w:rPr>
                <w:rtl w:val="0"/>
              </w:rPr>
              <w:t xml:space="preserve">, </w:t>
            </w:r>
            <w:r w:rsidR="00000000" w:rsidRPr="00000000" w:rsidDel="00000000">
              <w:rPr>
                <w:b w:val="1"/>
                <w:u w:val="single"/>
                <w:rtl w:val="0"/>
              </w:rPr>
              <w:t xml:space="preserve">kas lietojot citās valsts un pašvaldību IT sistēmās ārpus kadastra un Zemesgrāmatas, nodrošinās civiltiesiskās apgrozības aktuālo datu automātiksu aktualizēšnu vismaz nekusatmā īpašuma nodokļa administrēšanas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Jaunbūves gadījumā ir jāparedz iespēja Nekustamā īpašuma valsts kadastra informācijas sistēmā piešķirt telpu grupām, </w:t>
            </w:r>
            <w:r w:rsidR="00000000" w:rsidRPr="00000000" w:rsidDel="00000000">
              <w:rPr>
                <w:b w:val="1"/>
                <w:u w:val="single"/>
                <w:rtl w:val="0"/>
              </w:rPr>
              <w:t xml:space="preserve">kas noteiktas projekta dokumentācijā,</w:t>
            </w:r>
            <w:r w:rsidR="00000000" w:rsidRPr="00000000" w:rsidDel="00000000">
              <w:rPr>
                <w:rtl w:val="0"/>
              </w:rPr>
              <w:t xml:space="preserve"> dzīvokļa īpašuma reģistrācijai nepieciešamos kadastra  </w:t>
            </w:r>
            <w:r w:rsidR="00000000" w:rsidRPr="00000000" w:rsidDel="00000000">
              <w:rPr>
                <w:b w:val="1"/>
                <w:u w:val="single"/>
                <w:rtl w:val="0"/>
              </w:rPr>
              <w:t xml:space="preserve">apzīmējumus un</w:t>
            </w:r>
            <w:r w:rsidR="00000000" w:rsidRPr="00000000" w:rsidDel="00000000">
              <w:rPr>
                <w:rtl w:val="0"/>
              </w:rPr>
              <w:t xml:space="preserve"> numurus un aprēķināt dzīvokļa īpašumam piesaistītās domājamās daļas no kopīpašuma vienlaicīgi ar dzīvojamās mājas un telpu grupas reģistrāciju. </w:t>
            </w:r>
            <w:r w:rsidR="00000000" w:rsidRPr="00000000" w:rsidDel="00000000">
              <w:rPr>
                <w:b w:val="1"/>
                <w:u w:val="single"/>
                <w:rtl w:val="0"/>
              </w:rPr>
              <w:t xml:space="preserve">Būvniecības normatīvajos aktos, jāparedz, kurām ēkām obligāti ir projektēšanas dokumentos jāparedz telpu grupas.</w:t>
            </w:r>
            <w:r w:rsidR="00000000" w:rsidRPr="00000000" w:rsidDel="00000000">
              <w:rPr>
                <w:rtl w:val="0"/>
              </w:rPr>
              <w:t xml:space="preserve"> Līdzīgi arī dzīvojamās mājas ierakstīšanu un sadalīšanu dzīvokļu īpašumos var lūgt vienā reizē, nodrošinot secīgu reģistrāciju </w:t>
            </w:r>
            <w:r w:rsidR="00000000" w:rsidRPr="00000000" w:rsidDel="00000000">
              <w:rPr>
                <w:b w:val="1"/>
                <w:u w:val="single"/>
                <w:rtl w:val="0"/>
              </w:rPr>
              <w:t xml:space="preserve">Zemesgrāmatā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7.1.1 un 7.2.1,  kā arī faktu, ka samērīga atmežošana ir pēc būtības dažāda pilsētu un ciemu teritorijās un citāda lielajos mežu masīvos, kas atrodas ārpus pilsētām un ciemiem, lūdzam grozīt 7.3.1. un 7.3.2: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koku ciršanai ārpus meža </w:t>
            </w:r>
            <w:r w:rsidR="00000000" w:rsidRPr="00000000" w:rsidDel="00000000">
              <w:rPr>
                <w:strike w:val="1"/>
                <w:rtl w:val="0"/>
              </w:rPr>
              <w:t xml:space="preserve">iekļaut atviegloto prasību ārpus meža augošo koku ciršanai, ja tie palikuši nenocirsti atmežošanas rezultātā un par tiem ir samaksāta kompensācija atmežošanas procesā.</w:t>
            </w:r>
            <w:r w:rsidR="00000000" w:rsidRPr="00000000" w:rsidDel="00000000">
              <w:rPr>
                <w:b w:val="1"/>
                <w:u w:val="single"/>
                <w:rtl w:val="0"/>
              </w:rPr>
              <w:t xml:space="preserve">paredzēt risinājumus, kas sabalansētu apbūvētas vai apbūvējamas zemes īpašniekam uzlikto apgrūtinājumu, gadījumos, kad koka ciršana netiek vai netiks atļauta, ar pārējās sabiedrības ieguvumiem no koku esības apbūvētās teritorijās, t.sk. veicot grozījumus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normatīvo regulējumu atmežošanas jomā, </w:t>
            </w:r>
            <w:r w:rsidR="00000000" w:rsidRPr="00000000" w:rsidDel="00000000">
              <w:rPr>
                <w:b w:val="1"/>
                <w:u w:val="single"/>
                <w:rtl w:val="0"/>
              </w:rPr>
              <w:t xml:space="preserve">esošo regulējumu</w:t>
            </w:r>
            <w:r w:rsidR="00000000" w:rsidRPr="00000000" w:rsidDel="00000000">
              <w:rPr>
                <w:rtl w:val="0"/>
              </w:rPr>
              <w:t xml:space="preserve"> p</w:t>
            </w:r>
            <w:r w:rsidR="00000000" w:rsidRPr="00000000" w:rsidDel="00000000">
              <w:rPr>
                <w:strike w:val="1"/>
                <w:rtl w:val="0"/>
              </w:rPr>
              <w:t xml:space="preserve">aredzot, ka gadījumā, ja atmežošanas rezultātā plānota pāri paliekoša ,</w:t>
            </w:r>
            <w:r w:rsidR="00000000" w:rsidRPr="00000000" w:rsidDel="00000000">
              <w:rPr>
                <w:b w:val="1"/>
                <w:u w:val="single"/>
                <w:rtl w:val="0"/>
              </w:rPr>
              <w:t xml:space="preserve">par</w:t>
            </w:r>
            <w:r w:rsidR="00000000" w:rsidRPr="00000000" w:rsidDel="00000000">
              <w:rPr>
                <w:strike w:val="1"/>
                <w:rtl w:val="0"/>
              </w:rPr>
              <w:t xml:space="preserve"> </w:t>
            </w:r>
            <w:r w:rsidR="00000000" w:rsidRPr="00000000" w:rsidDel="00000000">
              <w:rPr>
                <w:rtl w:val="0"/>
              </w:rPr>
              <w:t xml:space="preserve"> meža platību vienas zemes vienības ietvaros ir mazāku par 0.5 ha, </w:t>
            </w:r>
            <w:r w:rsidR="00000000" w:rsidRPr="00000000" w:rsidDel="00000000">
              <w:rPr>
                <w:b w:val="1"/>
                <w:u w:val="single"/>
                <w:rtl w:val="0"/>
              </w:rPr>
              <w:t xml:space="preserve">attiecinot tikai uz zemes vienībām ārpus pilsētām un ciemiem. Attiecībā uz zemes vienībām ārpus pilsētām un ciemiem, paredzēt, ka</w:t>
            </w:r>
            <w:r w:rsidR="00000000" w:rsidRPr="00000000" w:rsidDel="00000000">
              <w:rPr>
                <w:rtl w:val="0"/>
              </w:rPr>
              <w:t xml:space="preserve"> tiek atmežota </w:t>
            </w:r>
            <w:r w:rsidR="00000000" w:rsidRPr="00000000" w:rsidDel="00000000">
              <w:rPr>
                <w:b w:val="1"/>
                <w:u w:val="single"/>
                <w:rtl w:val="0"/>
              </w:rPr>
              <w:t xml:space="preserve">visa platība, ja tā mazāka par 0,5 ha</w:t>
            </w:r>
            <w:r w:rsidR="00000000" w:rsidRPr="00000000" w:rsidDel="00000000">
              <w:rPr>
                <w:rtl w:val="0"/>
              </w:rPr>
              <w:t xml:space="preserve">. Vienlaicīgi kompensācija ir maksājama par atmežoto platību, kas faktiski tiek izcirsta. Par kokiem, kas atmežošanas procesā nebija izcirsti un par kuriem netika samaksāta kompensācija, būs jāmaksā kompensācija, ja būs nepieciešama un atbalstīta to ciršana citos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7.1.2, lūdzam precizēt arī 7.2.1: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18.12.2012. noteikumos Nr.889 "Noteikumi par atmežošanas kompensācijas noteikšanas kritērijiem, aprēķināšanas un atlīdzināšanas kārtību", paredzot </w:t>
            </w:r>
            <w:r w:rsidR="00000000" w:rsidRPr="00000000" w:rsidDel="00000000">
              <w:rPr>
                <w:b w:val="1"/>
                <w:u w:val="single"/>
                <w:rtl w:val="0"/>
              </w:rPr>
              <w:t xml:space="preserve">, ka </w:t>
            </w:r>
            <w:r w:rsidR="00000000" w:rsidRPr="00000000" w:rsidDel="00000000">
              <w:rPr>
                <w:rtl w:val="0"/>
              </w:rPr>
              <w:t xml:space="preserve">atmežošana, </w:t>
            </w:r>
            <w:r w:rsidR="00000000" w:rsidRPr="00000000" w:rsidDel="00000000">
              <w:rPr>
                <w:b w:val="1"/>
                <w:u w:val="single"/>
                <w:rtl w:val="0"/>
              </w:rPr>
              <w:t xml:space="preserve">kas </w:t>
            </w:r>
            <w:r w:rsidR="00000000" w:rsidRPr="00000000" w:rsidDel="00000000">
              <w:rPr>
                <w:strike w:val="1"/>
                <w:rtl w:val="0"/>
              </w:rPr>
              <w:t xml:space="preserve">procesa</w:t>
            </w:r>
            <w:r w:rsidR="00000000" w:rsidRPr="00000000" w:rsidDel="00000000">
              <w:rPr>
                <w:rtl w:val="0"/>
              </w:rPr>
              <w:t xml:space="preserve"> </w:t>
            </w:r>
            <w:r w:rsidR="00000000" w:rsidRPr="00000000" w:rsidDel="00000000">
              <w:rPr>
                <w:strike w:val="1"/>
                <w:rtl w:val="0"/>
              </w:rPr>
              <w:t xml:space="preserve">sa</w:t>
            </w:r>
            <w:r w:rsidR="00000000" w:rsidRPr="00000000" w:rsidDel="00000000">
              <w:rPr>
                <w:rtl w:val="0"/>
              </w:rPr>
              <w:t xml:space="preserve">saistīta ar būvniecības ieceres īstenošanu </w:t>
            </w:r>
            <w:r w:rsidR="00000000" w:rsidRPr="00000000" w:rsidDel="00000000">
              <w:rPr>
                <w:b w:val="1"/>
                <w:u w:val="single"/>
                <w:rtl w:val="0"/>
              </w:rPr>
              <w:t xml:space="preserve">tiek veikta vienotā procesā, kāds tiks noteikts augošu koku ciršanā ārpus meža zemēm,</w:t>
            </w:r>
            <w:r w:rsidR="00000000" w:rsidRPr="00000000" w:rsidDel="00000000">
              <w:rPr>
                <w:rtl w:val="0"/>
              </w:rPr>
              <w:t xml:space="preserve"> </w:t>
            </w:r>
            <w:r w:rsidR="00000000" w:rsidRPr="00000000" w:rsidDel="00000000">
              <w:rPr>
                <w:b w:val="1"/>
                <w:u w:val="single"/>
                <w:rtl w:val="0"/>
              </w:rPr>
              <w:t xml:space="preserve">iestrādājot šādus principus</w:t>
            </w:r>
            <w:r w:rsidR="00000000" w:rsidRPr="00000000" w:rsidDel="00000000">
              <w:rPr>
                <w:rtl w:val="0"/>
              </w:rPr>
              <w:t xml:space="preserve"> j</w:t>
            </w:r>
            <w:r w:rsidR="00000000" w:rsidRPr="00000000" w:rsidDel="00000000">
              <w:rPr>
                <w:strike w:val="1"/>
                <w:rtl w:val="0"/>
              </w:rPr>
              <w:t xml:space="preserve">a atmežošana ir saistīta ar būvniecību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paredzēt, ka atmežošanas poligons tiek sagatavots būvprojektēšanas procesā, tā iezīmēšanu bez mērnieka būtu jāatļauj arī sertificētām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atmežošanas pieteikumu iesniedz, izmantojot Būvniecības informācijas sistēmu (BIS), vienlaicīgi padodot datus par atmežojamo platību (poligonu);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w:t>
            </w:r>
            <w:r w:rsidR="00000000" w:rsidRPr="00000000" w:rsidDel="00000000">
              <w:rPr>
                <w:strike w:val="1"/>
                <w:rtl w:val="0"/>
              </w:rPr>
              <w:t xml:space="preserve">Valsts meža dienests</w:t>
            </w:r>
            <w:r w:rsidR="00000000" w:rsidRPr="00000000" w:rsidDel="00000000">
              <w:rPr>
                <w:rtl w:val="0"/>
              </w:rPr>
              <w:t xml:space="preserve"> </w:t>
            </w:r>
            <w:r w:rsidR="00000000" w:rsidRPr="00000000" w:rsidDel="00000000">
              <w:rPr>
                <w:b w:val="1"/>
                <w:u w:val="single"/>
                <w:rtl w:val="0"/>
              </w:rPr>
              <w:t xml:space="preserve">atbildīgā institūcija</w:t>
            </w:r>
            <w:r w:rsidR="00000000" w:rsidRPr="00000000" w:rsidDel="00000000">
              <w:rPr>
                <w:rtl w:val="0"/>
              </w:rPr>
              <w:t xml:space="preserve"> aprēķinu par kompensāciju "padod" uz 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atmežošana faktiski ir pieļaujama tikai pēc projektēšanas nosacījumu izpildes, nav pieļaujama situācija, ka platība tiek atmežota, bet ieceres īstenošana netiek turpināta, kompensācijas par atmežošanu samaksa ir viens no projektēšanas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poligona iezīmēšanu dabā veic sertificētais mērnieks, tiesību piešķiršana būvspeciālistam papildu vērtējama sadarbībā ar nozares organizācijām, vērtējot būvspeciālistu kompetenci, zināšanas un prasmes šāda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ja normatīvie akti paredz kompensācijai piemērot koeficientu "0", tad ir iesniedzams tikai atmežojamais poligons, iesniegums kompensācijas aprēķināšanai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izvērtēt nepieciešamību grozīt normatīvos aktus būvniecības jomā, nosakot prasības atmežojama poligona ievietošanai būvprojektā, augšupielādēšanai BIS sistēmā, strukturēto datu norādīšanu, kas ir nepieciešama Valsts meža dienestam reģistrācijai meža reģistrā un kompensācijas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27.12.2011. noteikumi Nr.1019 "Zemes kadastrālās uzmērīšanas noteikumi", paredzot tiesības sertificētam būvspeciālistam iezīmēt poligonu.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konstatēta sistēmiska problēma attiecībā uz meža zemēm, kur teritorijas plānojumi atļauj apbūvi! Un tika konstatēts, ka it īpaši pilsētu teritorijās, primārais ir teritorijas plānojums, nevis juridiskais status zemei uz kuras aug koki. Tādejādi meža zemju esošais  regulējums attiecībā uz jaunu būvniecību būtu attiecināms tikai uz tām meža zemēm, kas atrodas teritorijas plānojuma zonās, kurās apbūve nav primāra. Savukārt teritorijas plānojuma zonās, kurās apbūve ir primāra, regulējumu attiecībā uz esošo koku ciršanu nav pamata noteikt dažādos veidos tikai tāpēc, ka zemei zem kokiem ir dažāds juridiskais statuss. Īpaši ņemot vērā faktu, ka pilsētās meža zemes juridiskais statuss ir noteikts nesistemātiksi, turklāt kā atzina ZM pārstāvji, ES regulējumi par mežiem neattiecas un pilsētu teritorijās esošajiem mežiem.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7.1.1. uzdevumu: "Grozījumi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no Meža likuma regulējumu, kas attiecas uz koku ciršanu ārpus meža kā tam saturiski nepiederošu;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Iekļaut normatīvajos aktos deleģējumu pašvaldībai teritorijas plānošanas dokumentos noteikt prasības koku daudzumam (pienākums iestādīt un kopt kokus) konkrētajās teritorijās vai, sasaistot to ar konkrētu izmantošanas veidu. Caur teritorijas plānošanu nosakām cik zaļu mēs redzam konkrētu teritoriju, detalizējot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 prasības administratīvajam procesam atļaujas saņemšanai koku ciršanai, mazinot regulējuma dažādību. Noteikumos paredzēt principus koku ciršanas kompensēšanai, papildu kompensācijai naudā paredzēt tiesības veikt citus kompensējošos pasākumus (teritorijā, kurā tiek veikta būvniecības)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Pašvaldību likumā paredzēt deleģējumu noteikt kārtību koku ciršanai ārpus meža, ja tā nav saistīta 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no Meža likuma regulējumu, kas attiecas uz koku ciršanu ārpus meža kā tam saturiski nepiederošu; </w:t>
            </w:r>
            <w:r w:rsidR="00000000" w:rsidRPr="00000000" w:rsidDel="00000000">
              <w:rPr>
                <w:b w:val="1"/>
                <w:u w:val="single"/>
                <w:rtl w:val="0"/>
              </w:rPr>
              <w:t xml:space="preserve">kā arī noteikt, ka koku ciršana (atmežošana) apbūves vajadzībām meža zemēs, kas atrodas teritorijas plānojumu zonās, kurās primārais mērķis ir apbūve, tiek reglamentēta tādā pat kārtībā kāda tiks noteikta koku ciršanai ārpus meža.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Iekļaut normatīvajos aktos deleģējumu pašvaldībai teritorijas plānošanas dokumentos noteikt prasības koku daudzumam (pienākums iestādīt un kopt kokus) konkrētajās teritorijās vai, sasaistot to ar konkrētu izmantošanas veidu. Caur teritorijas plānošanu nosakām cik zaļu mēs redzam konkrētu teritoriju, detalizējot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 prasības administratīvajam procesam atļaujas saņemšanai koku ciršanai </w:t>
            </w:r>
            <w:r w:rsidR="00000000" w:rsidRPr="00000000" w:rsidDel="00000000">
              <w:rPr>
                <w:b w:val="1"/>
                <w:u w:val="single"/>
                <w:rtl w:val="0"/>
              </w:rPr>
              <w:t xml:space="preserve">gan jau apbūvētos, gan apbūvējamos zemesgabalos, kuri atrodas teritorijas plānojumu zonās, kurās primārais mērķis ir apbūve,</w:t>
            </w:r>
            <w:r w:rsidR="00000000" w:rsidRPr="00000000" w:rsidDel="00000000">
              <w:rPr>
                <w:rtl w:val="0"/>
              </w:rPr>
              <w:t xml:space="preserve">  </w:t>
            </w:r>
            <w:r w:rsidR="00000000" w:rsidRPr="00000000" w:rsidDel="00000000">
              <w:rPr>
                <w:strike w:val="1"/>
                <w:rtl w:val="0"/>
              </w:rPr>
              <w:t xml:space="preserve">mazinot</w:t>
            </w:r>
            <w:r w:rsidR="00000000" w:rsidRPr="00000000" w:rsidDel="00000000">
              <w:rPr>
                <w:rtl w:val="0"/>
              </w:rPr>
              <w:t xml:space="preserve"> </w:t>
            </w:r>
            <w:r w:rsidR="00000000" w:rsidRPr="00000000" w:rsidDel="00000000">
              <w:rPr>
                <w:b w:val="1"/>
                <w:u w:val="single"/>
                <w:rtl w:val="0"/>
              </w:rPr>
              <w:t xml:space="preserve">vienotā</w:t>
            </w:r>
            <w:r w:rsidR="00000000" w:rsidRPr="00000000" w:rsidDel="00000000">
              <w:rPr>
                <w:rtl w:val="0"/>
              </w:rPr>
              <w:t xml:space="preserve"> regulējumā </w:t>
            </w:r>
            <w:r w:rsidR="00000000" w:rsidRPr="00000000" w:rsidDel="00000000">
              <w:rPr>
                <w:strike w:val="1"/>
                <w:rtl w:val="0"/>
              </w:rPr>
              <w:t xml:space="preserve">dažādību</w:t>
            </w:r>
            <w:r w:rsidR="00000000" w:rsidRPr="00000000" w:rsidDel="00000000">
              <w:rPr>
                <w:rtl w:val="0"/>
              </w:rPr>
              <w:t xml:space="preserve">. Noteikumos paredzēt principus koku ciršanas kompensēšanai, papildu kompensācijai naudā paredzēt tiesības veikt citus kompensējošos pasākumus (teritorijā, kurā tiek veikta būvniecības), </w:t>
            </w:r>
            <w:r w:rsidR="00000000" w:rsidRPr="00000000" w:rsidDel="00000000">
              <w:rPr>
                <w:b w:val="1"/>
                <w:u w:val="single"/>
                <w:rtl w:val="0"/>
              </w:rPr>
              <w:t xml:space="preserve">kā arī paredzēt risinājumus, kas sabalansētu apbūvētas vai apbūvējamas zemes īpašniekam uzlikto apgrūtinājumu, gadījumos, kad koka ciršana netiek atļauta, ar pārējās sabiedrības ieguvumiem no koku esības apbūvētās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Pašvaldību likumā paredzēt deleģējumu noteikt kārtību koku ciršanai ārpus meža, ja </w:t>
            </w:r>
            <w:r w:rsidR="00000000" w:rsidRPr="00000000" w:rsidDel="00000000">
              <w:rPr>
                <w:b w:val="1"/>
                <w:u w:val="single"/>
                <w:rtl w:val="0"/>
              </w:rPr>
              <w:t xml:space="preserve">tā tiek</w:t>
            </w:r>
            <w:r w:rsidR="00000000" w:rsidRPr="00000000" w:rsidDel="00000000">
              <w:rPr>
                <w:rtl w:val="0"/>
              </w:rPr>
              <w:t xml:space="preserve"> v</w:t>
            </w:r>
            <w:r w:rsidR="00000000" w:rsidRPr="00000000" w:rsidDel="00000000">
              <w:rPr>
                <w:b w:val="1"/>
                <w:u w:val="single"/>
                <w:rtl w:val="0"/>
              </w:rPr>
              <w:t xml:space="preserve">eikta meža zemēs, kuras atrodas teritorijas plānojumu zonās, kurās primārais mērķis ir apbūve, ar mērķi veikt</w:t>
            </w:r>
            <w:r w:rsidR="00000000" w:rsidRPr="00000000" w:rsidDel="00000000">
              <w:rPr>
                <w:rtl w:val="0"/>
              </w:rPr>
              <w:t xml:space="preserve"> </w:t>
            </w:r>
            <w:r w:rsidR="00000000" w:rsidRPr="00000000" w:rsidDel="00000000">
              <w:rPr>
                <w:strike w:val="1"/>
                <w:rtl w:val="0"/>
              </w:rPr>
              <w:t xml:space="preserve">nav saistīta ar</w:t>
            </w:r>
            <w:r w:rsidR="00000000" w:rsidRPr="00000000" w:rsidDel="00000000">
              <w:rPr>
                <w:rtl w:val="0"/>
              </w:rPr>
              <w:t xml:space="preserve"> būvniecību, </w:t>
            </w:r>
            <w:r w:rsidR="00000000" w:rsidRPr="00000000" w:rsidDel="00000000">
              <w:rPr>
                <w:b w:val="1"/>
                <w:u w:val="single"/>
                <w:rtl w:val="0"/>
              </w:rPr>
              <w:t xml:space="preserve">kā arī pārējās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iekļauts šis uzdevums, par kuru vienojās darba grupa un  kuru izpildīt apņēmās 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darba grupu un "sašķirot" ierakstu veikšanu zemesgrāmatā, identificējot kuros gadījumos būtu iespējams paredzēt nostiprinājuma lūguma iesniegšanu ar elektronisko parakstu, iespējams izmantojot oficiālo eadresi."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vienošanās tika panākts kontekstā ar rosinājumu - "darījuma dalībniekiem pašiem, bez notāru starpniecības iesniegt nostiprinājuma lūgumus zemesgrāmatā, tādējādi atvieglojot un paātrinot nekustamo īpašumu darījumu norisi.  Jāpalielina elektroniskā paraksta tiešu izmantošanu zemesgrāmatu lietās. Veicināt plašāku un efektīvāku elektroniskā paraksta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uzdevuma konteksta aprakstu un pievienot šādu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sadarbībā ar Tielsietu ministriju un pieaicinot sadarbības partnerus, sagatavot grozījumus normatīvajos aktos, kas būtiski paplašinās loku, kas drīkst iesniegt nostiprinājuma lūgumus Zemesgrāmatā ar drošu elektronisko parakstu, izmantojot oficiālo elektronisko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3.4.1. uzdevumu : "Ekonomikas ministrijai izstrādāt informatīvo ziņojumu, nosakot vienotā procesa modeli un definējot aktualitātes un precizitātes prasības datiem būvniecības informācijas sistēmā. Informatīvajā ziņojumā ietvert konkrētus uzdevumus normatīvā regulējuma grozījumiem vienotā procesa ieviešanai tā, lai vienotais process tiktu ieviests ne vēlāk kā ar 2026.gada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izskaot šādā redakicjā: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Ekonomikas ministrijai izstrādāt informatīvo ziņojumu, nosakot vienotā procesa modeli un definējot aktualitātes un precizitātes prasības datiem būvniecības informācijas sistēmā. Informatīvajā ziņojumā ietvert konkrētus uzdevumus normatīvā regulējuma grozījumiem vienotā procesa ieviešanai tā, lai vienotais process tiktu ieviests ne vēlāk kā ar 2026.gada 1.janvāri, </w:t>
            </w:r>
            <w:r w:rsidR="00000000" w:rsidRPr="00000000" w:rsidDel="00000000">
              <w:rPr>
                <w:u w:val="single"/>
                <w:rtl w:val="0"/>
              </w:rPr>
              <w:t xml:space="preserve">nodrošinot visu uzbūvēto ēku reģistrāciju Zemesgrāmatā, paredzot, ka nav nepieciešama personas griba reģistrācijai, jo reģistrācija tiks noteikta kā pienākums, nevis kā tiesība.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plānošanas dokumenta īstenošanas monitoringa veikšanas nepieciešamību un atskaišu iesniegšanas biežumu. Monitoringa atskaišu ieniegšanas atcelšana vai samazināšana ievērojami samazinātu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saistībā ar 3.2.1. punkta trešajā rindkopā pausto: “teritorijas plānošanas dokumentiem ir jākalpo par galveno informācijas avotu, kas ļautu vispusīgi novērtēt teritorijas attīstībai pastāvošos priekšnosacījumus, tai skaitā infrastruktūras pieejamību un iespēju saņemt īpašumam nepieciešamos pakalpojumus, piemēram, elektrības pieslēgumu, centralizētos ūdens un kanalizācijas pakalpojumus, siltumapgādi” norādām, ka teritorijas plānojumā (jo īpaši jauno novadu mērogā) ne vienmēr būs rodama atbilde par konkrēta īpašuma iespējām pieslēgties komunikācijām (prasība pārsniedz teritorijas plānošanas dokumentu tvērumu, jo īpaši, ka teritorijas plānojums ir vērsts uz nākotnes attīstības iespējām). Lūdzam precizēt vai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Informatīvo ziņojumu, dažas neskaidras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manuprāt, mūsdienās nestrādā ceļa servitūta institūts (CL  tam bija cita nozīme , kas nav aktuāla un pielietojama šajā laikā). Par zeme sreformas ieviešanu lauku apvidos bija norma, ka  katram īpašumam jābūt piekļuves iespējām. to vajadzētu atjaunot (ZPL ir dotas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koplietošana sinfrastruktūra ir arī koplietošana smeliorācija ssistēmas, par ko IZ nav ne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koku ciršana ārpus meža- pareizi norādīts, ka to jānodod pašvaldību pārziņā (regulēt ar SN katrā teritorijā), bet 8.p.neskaidra ziņa par apbūves teritorijām meža zemēs.  ja platība paliks lielāka par 0,5ha, tad pagalmu turpināsim uzskatīt par mežu? vai u izņem visu platību apbūvei un noregulē NĪN jautājumu un maksājumu kārtību par kompensācijām valstij, vai meža zemeš neveic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05.03.2024.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05.03.2024.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Atzinumi_24-TA-385.docx</dc:title>
</cp:coreProperties>
</file>

<file path=docProps/custom.xml><?xml version="1.0" encoding="utf-8"?>
<Properties xmlns="http://schemas.openxmlformats.org/officeDocument/2006/custom-properties" xmlns:vt="http://schemas.openxmlformats.org/officeDocument/2006/docPropsVTypes"/>
</file>