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Ekonomiskās ilgtspējas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mērķis ir veicināt valsts ekonomikas ilgtspēju, sekmējot konkurētspēju un valsts virzību uz klimata pārmaiņu ierobežošanu un klimatnoturību, lai ne vēlāk kā līdz 2050. gadam sasniegtu klimatneitralitāti un nacionālos klimata mērķus saskaņā ar Eiropas Savienības un citām starptautiskajām saistībām, tostarp Apvienoto Nāciju Organizācijas Vispārējās konvencijas par klimata pārmaiņām (turpmāk - Klimata konvencija) un tās Parīzes nolīguma saistībām, ņemot vērā sociālos un vides aspektus.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veiktie precizējumi anotācijas 1.1. sadaļā (Pamatojums) nesasaista konkrēti likumprojekta mērķa aprakstu un mērķa pamatojumu (1.2. sadaļa), kā arī nenosaka, kur tiks noteikti mērķi un nepieciešamās darbības klimatneitralitātes sasniegšanas turpināšanai pēc 2030. gada, atkārtoti aicinām atbilstoši VARAM 08.05.2025. atzinumā iekļautajam iebildumam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Modernizācijas fonda finansējumu nepiešķir sadedzināšanas iekārtām, kurās izmanto energoresursus, kas atbilstoši Enerģētikas likuma 1. panta pirmās daļas 1.</w:t>
            </w:r>
            <w:r w:rsidR="00000000" w:rsidRPr="00000000" w:rsidDel="00000000">
              <w:rPr>
                <w:vertAlign w:val="superscript"/>
                <w:rtl w:val="0"/>
              </w:rPr>
              <w:t xml:space="preserve">2 </w:t>
            </w:r>
            <w:r w:rsidR="00000000" w:rsidRPr="00000000" w:rsidDel="00000000">
              <w:rPr>
                <w:rtl w:val="0"/>
              </w:rPr>
              <w:t xml:space="preserve">punktam nav atjaunīgie energoresursi.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izziņā skaidroto, ka Modernizācijas fonda ietvaros atbalsts nevar tikt sniegts investīcijām, kuru rezultātā palielinās CO2 emisiju apjoms, iekļaut likumprojekta anotācijā, lai novērstu dažādas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 sadarbībā ar Ekonomikas ministriju, Finanšu ministriju, Iekšlietu ministriju, Klimata un enerģētikas ministriju, Satiksmes ministriju, Veselības ministriju un Zemkopības ministriju atbilstoši nacionālā līmeņa attīstības plānošanas dokumentiem sagatavo plānošanas reģioniem un pašvaldībām paredzētas klimata pārmaiņu mazināšanas un pielāgošanās klimata pārmaiņām vadlīnijas.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Sekmīgu nozaru politikas ieviešanu visos publiskās pārvaldes līmeņos var nodrošināt tikai par nozari atbildīgās ministrijas virsvadībā. Citu ministriju loma ir sniegt atbalstu savas kompetences ietvaros. Tāpēc VARAM vērš uzmanību, ka ņemot vērā Klimata un enerģētikas ministrijas (KEM) izveidi 2023.gada 1.janvārī un tās kapacitātes nostiprināšanos, VARAM skatījumā, KEM ir jānodrošina vadošā loma metodiskās vadības nodrošināšanā reģionālā un vietējā līmenī. KEM izstrādā nozari regulējošos normatīvos aktus un plānošanas dokumentus, tāpēc tikai KEM var sniegt konsultācijas un pilnvērtīgu informāciju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nozares politikas plānošanā un ieviešanā ir spēkā visās jomās, piemēram, Izglītības un zinātnes ministrija ir izstrādājusi rokasgrāmatu pašvaldībām “Darba ar jaunatni sistēmas attīstība apvienotās pašvaldībās. Ieteikumi pašvaldībām” un Slimību un profilakses kontroles centrs kopā ar Veselības ministriju ir izstrādājušas metodisko materiālu “Vadlīnijas pašvaldībām veselības veicināšanā”, kas ietver 5.nodaļu "Pašvaldības veselības veicināšanas darba plānošana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lai nekavētu šā likumprojekta virzību, šobrīd par to neizsakām iebildumu, vienlaikus vēršam uzmanību, ka likumprojekta izskatīšanas Saeimā laikā aicināsim izvērtēt šo uzdevumu uzņemties KEM, kā par nozares politikas izstrādi un ieviešanu atbildīgo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1.2. apakšsadaļā precizējumi attiecībā uz mērķa pamatojumu nav veikti, lūdzam ņemt vērā VARAM 08.05.2025. sniegtajā atzinumā izteiktos iebildumus salāgot likumprojekta mērķi un tā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tehnisku precizējumu anotācijas 1.3. sadaļā, norādot, ka likumprojekts sastāv no piecām nodaļām.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25-TA-877</w:t>
    </w:r>
    <w:r>
      <w:br/>
    </w:r>
    <w:r w:rsidR="00000000" w:rsidRPr="00000000" w:rsidDel="00000000">
      <w:rPr>
        <w:rtl w:val="0"/>
      </w:rPr>
      <w:t xml:space="preserve">Izdrukāts 23.05.2025.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25-TA-877</w:t>
    </w:r>
    <w:r>
      <w:br/>
    </w:r>
    <w:r w:rsidR="00000000" w:rsidRPr="00000000" w:rsidDel="00000000">
      <w:rPr>
        <w:rtl w:val="0"/>
      </w:rPr>
      <w:t xml:space="preserve">Izdrukāts 23.05.2025.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Atzinumi_25-TA-877.docx</dc:title>
</cp:coreProperties>
</file>

<file path=docProps/custom.xml><?xml version="1.0" encoding="utf-8"?>
<Properties xmlns="http://schemas.openxmlformats.org/officeDocument/2006/custom-properties" xmlns:vt="http://schemas.openxmlformats.org/officeDocument/2006/docPropsVTypes"/>
</file>