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F7C" w:rsidRDefault="00FA3F7C">
      <w:r w:rsidRPr="00FA3F7C">
        <w:t>2021.  gada .20.05</w:t>
      </w:r>
      <w:bookmarkStart w:id="0" w:name="_GoBack"/>
      <w:bookmarkEnd w:id="0"/>
    </w:p>
    <w:p w:rsidR="00BE7CE7" w:rsidRDefault="003C041D">
      <w:r w:rsidRPr="003C041D">
        <w:t xml:space="preserve">Gita Daukste </w:t>
      </w:r>
      <w:hyperlink r:id="rId5" w:history="1">
        <w:r w:rsidRPr="006D2243">
          <w:rPr>
            <w:rStyle w:val="Hyperlink"/>
          </w:rPr>
          <w:t>Gita.Daukste@tm.gov.lv</w:t>
        </w:r>
      </w:hyperlink>
    </w:p>
    <w:p w:rsidR="003C041D" w:rsidRDefault="003C041D">
      <w:r w:rsidRPr="003C041D">
        <w:t xml:space="preserve">Aivis Hammers </w:t>
      </w:r>
      <w:hyperlink r:id="rId6" w:history="1">
        <w:r w:rsidRPr="006D2243">
          <w:rPr>
            <w:rStyle w:val="Hyperlink"/>
          </w:rPr>
          <w:t>aivis.hammers@fm.gov.lv</w:t>
        </w:r>
      </w:hyperlink>
      <w:r>
        <w:t xml:space="preserve"> </w:t>
      </w:r>
      <w:r w:rsidRPr="003C041D">
        <w:t xml:space="preserve">Pasts </w:t>
      </w:r>
      <w:hyperlink r:id="rId7" w:history="1">
        <w:r w:rsidRPr="006D2243">
          <w:rPr>
            <w:rStyle w:val="Hyperlink"/>
          </w:rPr>
          <w:t>Pasts@fm.gov.lv</w:t>
        </w:r>
      </w:hyperlink>
      <w:r>
        <w:t xml:space="preserve"> </w:t>
      </w:r>
      <w:r w:rsidRPr="003C041D">
        <w:t xml:space="preserve">TM KANCELEJA </w:t>
      </w:r>
      <w:hyperlink r:id="rId8" w:history="1">
        <w:r w:rsidRPr="006D2243">
          <w:rPr>
            <w:rStyle w:val="Hyperlink"/>
          </w:rPr>
          <w:t>pasts@tm.gov.lv</w:t>
        </w:r>
      </w:hyperlink>
      <w:r>
        <w:t xml:space="preserve"> </w:t>
      </w:r>
      <w:r w:rsidRPr="003C041D">
        <w:t xml:space="preserve">Egita Šķibele </w:t>
      </w:r>
      <w:hyperlink r:id="rId9" w:history="1">
        <w:r w:rsidRPr="006D2243">
          <w:rPr>
            <w:rStyle w:val="Hyperlink"/>
          </w:rPr>
          <w:t>egita.skibele@fm.gov.lv</w:t>
        </w:r>
      </w:hyperlink>
      <w:r>
        <w:t xml:space="preserve"> </w:t>
      </w:r>
      <w:r w:rsidRPr="003C041D">
        <w:t xml:space="preserve">Sandis Vilcāns </w:t>
      </w:r>
      <w:hyperlink r:id="rId10" w:history="1">
        <w:r w:rsidRPr="006D2243">
          <w:rPr>
            <w:rStyle w:val="Hyperlink"/>
          </w:rPr>
          <w:t>Sandis.Vilcans@tm.gov.lv</w:t>
        </w:r>
      </w:hyperlink>
      <w:r>
        <w:t xml:space="preserve"> </w:t>
      </w:r>
      <w:r w:rsidRPr="003C041D">
        <w:t xml:space="preserve">Linda Upīte </w:t>
      </w:r>
      <w:hyperlink r:id="rId11" w:history="1">
        <w:r w:rsidRPr="006D2243">
          <w:rPr>
            <w:rStyle w:val="Hyperlink"/>
          </w:rPr>
          <w:t>Linda.Upite@tm.gov.lv</w:t>
        </w:r>
      </w:hyperlink>
      <w:r>
        <w:t xml:space="preserve"> </w:t>
      </w:r>
      <w:r w:rsidRPr="003C041D">
        <w:t xml:space="preserve">Beāte </w:t>
      </w:r>
      <w:proofErr w:type="spellStart"/>
      <w:r w:rsidRPr="003C041D">
        <w:t>Gusārova</w:t>
      </w:r>
      <w:proofErr w:type="spellEnd"/>
      <w:r w:rsidRPr="003C041D">
        <w:t xml:space="preserve"> </w:t>
      </w:r>
      <w:hyperlink r:id="rId12" w:history="1">
        <w:r w:rsidRPr="006D2243">
          <w:rPr>
            <w:rStyle w:val="Hyperlink"/>
          </w:rPr>
          <w:t>Beate.Gusarova@tm.gov.lv</w:t>
        </w:r>
      </w:hyperlink>
      <w:r>
        <w:t xml:space="preserve"> </w:t>
      </w:r>
    </w:p>
    <w:p w:rsidR="003C041D" w:rsidRDefault="003C041D">
      <w:r w:rsidRPr="003C041D">
        <w:t>Atkārtotā elektroniskā saskaņošana: "Ieguldījumu brokeru sabiedrību likums" likumprojektu pakete</w:t>
      </w:r>
    </w:p>
    <w:p w:rsidR="003C041D" w:rsidRDefault="003C041D"/>
    <w:p w:rsidR="003C041D" w:rsidRDefault="003C041D" w:rsidP="003C041D">
      <w:pPr>
        <w:rPr>
          <w:rFonts w:ascii="Arial" w:hAnsi="Arial" w:cs="Arial"/>
          <w:sz w:val="20"/>
          <w:szCs w:val="20"/>
        </w:rPr>
      </w:pPr>
      <w:r>
        <w:rPr>
          <w:rFonts w:ascii="Arial" w:hAnsi="Arial" w:cs="Arial"/>
          <w:sz w:val="20"/>
          <w:szCs w:val="20"/>
        </w:rPr>
        <w:t xml:space="preserve">Labdien, </w:t>
      </w:r>
    </w:p>
    <w:p w:rsidR="003C041D" w:rsidRDefault="003C041D" w:rsidP="003C041D">
      <w:pPr>
        <w:rPr>
          <w:rFonts w:ascii="Arial" w:hAnsi="Arial" w:cs="Arial"/>
          <w:sz w:val="20"/>
          <w:szCs w:val="20"/>
        </w:rPr>
      </w:pPr>
    </w:p>
    <w:p w:rsidR="003C041D" w:rsidRDefault="003C041D" w:rsidP="003C041D">
      <w:pPr>
        <w:rPr>
          <w:rFonts w:ascii="Arial" w:hAnsi="Arial" w:cs="Arial"/>
          <w:sz w:val="20"/>
          <w:szCs w:val="20"/>
        </w:rPr>
      </w:pPr>
      <w:r>
        <w:rPr>
          <w:rFonts w:ascii="Arial" w:hAnsi="Arial" w:cs="Arial"/>
          <w:sz w:val="20"/>
          <w:szCs w:val="20"/>
        </w:rPr>
        <w:t>Nosūtu Tieslietu ministrijas viedokli par "Ieguldījumu brokeru sabiedrību likuma" likumprojektu paketē ietilpstošajiem likumprojektiem.</w:t>
      </w:r>
    </w:p>
    <w:p w:rsidR="003C041D" w:rsidRDefault="003C041D" w:rsidP="003C041D">
      <w:pPr>
        <w:rPr>
          <w:rFonts w:ascii="Arial" w:hAnsi="Arial" w:cs="Arial"/>
          <w:sz w:val="20"/>
          <w:szCs w:val="20"/>
        </w:rPr>
      </w:pPr>
    </w:p>
    <w:p w:rsidR="003C041D" w:rsidRDefault="003C041D" w:rsidP="003C041D">
      <w:pPr>
        <w:pStyle w:val="ListParagraph"/>
        <w:numPr>
          <w:ilvl w:val="0"/>
          <w:numId w:val="1"/>
        </w:numPr>
        <w:ind w:left="360"/>
      </w:pPr>
      <w:r>
        <w:rPr>
          <w:rFonts w:ascii="Arial" w:hAnsi="Arial" w:cs="Arial"/>
          <w:b/>
          <w:bCs/>
          <w:sz w:val="20"/>
          <w:szCs w:val="20"/>
        </w:rPr>
        <w:t>“Grozījumi Finanšu instrumentu tirgus likumā” (VSS-154)</w:t>
      </w:r>
    </w:p>
    <w:p w:rsidR="003C041D" w:rsidRDefault="003C041D" w:rsidP="003C041D">
      <w:pPr>
        <w:pStyle w:val="ListParagraph"/>
        <w:ind w:left="0"/>
      </w:pPr>
      <w:r>
        <w:rPr>
          <w:rFonts w:ascii="Arial" w:hAnsi="Arial" w:cs="Arial"/>
          <w:sz w:val="20"/>
          <w:szCs w:val="20"/>
        </w:rPr>
        <w:t>Tieslietu ministrija ir izskatījusi Finanšu ministrijas izstrādāto likumprojektu “Grozījumi Finanšu instrumentu tirgus likumā” un atbalsta tā tālāku virzību bez iebildumiem vai priekšlikumiem.</w:t>
      </w:r>
    </w:p>
    <w:p w:rsidR="003C041D" w:rsidRDefault="003C041D" w:rsidP="003C041D">
      <w:pPr>
        <w:pStyle w:val="ListParagraph"/>
        <w:ind w:left="0"/>
      </w:pPr>
      <w:r>
        <w:rPr>
          <w:rFonts w:ascii="Arial" w:hAnsi="Arial" w:cs="Arial"/>
          <w:sz w:val="20"/>
          <w:szCs w:val="20"/>
        </w:rPr>
        <w:t> </w:t>
      </w:r>
    </w:p>
    <w:p w:rsidR="003C041D" w:rsidRDefault="003C041D" w:rsidP="003C041D">
      <w:pPr>
        <w:pStyle w:val="ListParagraph"/>
        <w:numPr>
          <w:ilvl w:val="0"/>
          <w:numId w:val="2"/>
        </w:numPr>
        <w:ind w:left="360"/>
      </w:pPr>
      <w:r>
        <w:rPr>
          <w:rFonts w:ascii="Arial" w:hAnsi="Arial" w:cs="Arial"/>
          <w:b/>
          <w:bCs/>
          <w:sz w:val="20"/>
          <w:szCs w:val="20"/>
        </w:rPr>
        <w:t>“Grozījumi Kredītiestāžu likumā” (VSS-155)</w:t>
      </w:r>
    </w:p>
    <w:p w:rsidR="003C041D" w:rsidRDefault="003C041D" w:rsidP="003C041D">
      <w:pPr>
        <w:pStyle w:val="ListParagraph"/>
        <w:ind w:left="0"/>
      </w:pPr>
      <w:r>
        <w:rPr>
          <w:rFonts w:ascii="Arial" w:hAnsi="Arial" w:cs="Arial"/>
          <w:sz w:val="20"/>
          <w:szCs w:val="20"/>
        </w:rPr>
        <w:t>Tieslietu ministrija ir izskatījusi Finanšu ministrijas izstrādāto likumprojektu “Grozījumi Kredītiestāžu likumā” un atbalsta tā tālāku virzību bez iebildumiem vai priekšlikumiem.</w:t>
      </w:r>
    </w:p>
    <w:p w:rsidR="003C041D" w:rsidRDefault="003C041D" w:rsidP="003C041D">
      <w:pPr>
        <w:pStyle w:val="ListParagraph"/>
        <w:ind w:left="0"/>
      </w:pPr>
      <w:r>
        <w:rPr>
          <w:rFonts w:ascii="Arial" w:hAnsi="Arial" w:cs="Arial"/>
          <w:sz w:val="20"/>
          <w:szCs w:val="20"/>
        </w:rPr>
        <w:t> </w:t>
      </w:r>
    </w:p>
    <w:p w:rsidR="003C041D" w:rsidRDefault="003C041D" w:rsidP="003C041D">
      <w:pPr>
        <w:pStyle w:val="ListParagraph"/>
        <w:numPr>
          <w:ilvl w:val="0"/>
          <w:numId w:val="3"/>
        </w:numPr>
        <w:ind w:left="360"/>
      </w:pPr>
      <w:r>
        <w:rPr>
          <w:rFonts w:ascii="Arial" w:hAnsi="Arial" w:cs="Arial"/>
          <w:b/>
          <w:bCs/>
          <w:sz w:val="20"/>
          <w:szCs w:val="20"/>
        </w:rPr>
        <w:t>“Grozījumi Ieguldījumu pārvaldes sabiedrību likumā” (VSS-156)</w:t>
      </w:r>
    </w:p>
    <w:p w:rsidR="003C041D" w:rsidRDefault="003C041D" w:rsidP="003C041D">
      <w:pPr>
        <w:pStyle w:val="ListParagraph"/>
        <w:ind w:left="0"/>
      </w:pPr>
      <w:r>
        <w:rPr>
          <w:rFonts w:ascii="Arial" w:hAnsi="Arial" w:cs="Arial"/>
          <w:sz w:val="20"/>
          <w:szCs w:val="20"/>
        </w:rPr>
        <w:t>Tieslietu ministrija ir izskatījusi Finanšu ministrijas izstrādāto likumprojektu “Grozījumi Ieguldījumu pārvaldes sabiedrību likumā” un atbalsta tā tālāku virzību, vienlaikus uzturot tās izteikto iebildumu par likumprojekta 9. panta trešo daļu par ierobežojumiem sabiedrības padomes locekļiem un amatpersonām, kuru Tieslietu ministrijas ieskatā nepieciešams precizēt atbilstoši Satversmes tiesas 2020. gada 17. decembra sprieduma lietā Nr.2020-18-01 norādītajam.</w:t>
      </w:r>
    </w:p>
    <w:p w:rsidR="003C041D" w:rsidRDefault="003C041D" w:rsidP="003C041D">
      <w:r>
        <w:rPr>
          <w:rFonts w:ascii="Arial" w:hAnsi="Arial" w:cs="Arial"/>
          <w:sz w:val="20"/>
          <w:szCs w:val="20"/>
        </w:rPr>
        <w:t> </w:t>
      </w:r>
    </w:p>
    <w:p w:rsidR="003C041D" w:rsidRDefault="003C041D" w:rsidP="003C041D">
      <w:pPr>
        <w:pStyle w:val="ListParagraph"/>
        <w:numPr>
          <w:ilvl w:val="0"/>
          <w:numId w:val="4"/>
        </w:numPr>
        <w:ind w:left="360"/>
      </w:pPr>
      <w:r>
        <w:rPr>
          <w:rFonts w:ascii="Arial" w:hAnsi="Arial" w:cs="Arial"/>
          <w:b/>
          <w:bCs/>
          <w:sz w:val="20"/>
          <w:szCs w:val="20"/>
        </w:rPr>
        <w:t>“Grozījumi Alternatīvo ieguldījumu fondu un to pārvaldnieku likumā” (VSS-157)</w:t>
      </w:r>
    </w:p>
    <w:p w:rsidR="003C041D" w:rsidRDefault="003C041D" w:rsidP="003C041D">
      <w:pPr>
        <w:pStyle w:val="ListParagraph"/>
        <w:ind w:left="0"/>
      </w:pPr>
      <w:r>
        <w:rPr>
          <w:rFonts w:ascii="Arial" w:hAnsi="Arial" w:cs="Arial"/>
          <w:sz w:val="20"/>
          <w:szCs w:val="20"/>
        </w:rPr>
        <w:t xml:space="preserve">Tieslietu ministrija ir izskatījusi Finanšu ministrijas izstrādāto likumprojektu “Grozījumi Alternatīvo ieguldījumu fondu un to pārvaldnieku likumā” un atbalsta tā tālāku virzību bez iebildumiem vai priekšlikumiem. </w:t>
      </w:r>
    </w:p>
    <w:p w:rsidR="003C041D" w:rsidRDefault="003C041D" w:rsidP="003C041D">
      <w:pPr>
        <w:pStyle w:val="ListParagraph"/>
        <w:ind w:left="0"/>
      </w:pPr>
      <w:r>
        <w:rPr>
          <w:rFonts w:ascii="Arial" w:hAnsi="Arial" w:cs="Arial"/>
          <w:sz w:val="20"/>
          <w:szCs w:val="20"/>
        </w:rPr>
        <w:t> </w:t>
      </w:r>
    </w:p>
    <w:p w:rsidR="003C041D" w:rsidRDefault="003C041D" w:rsidP="003C041D">
      <w:pPr>
        <w:pStyle w:val="ListParagraph"/>
        <w:numPr>
          <w:ilvl w:val="0"/>
          <w:numId w:val="5"/>
        </w:numPr>
        <w:ind w:left="360"/>
      </w:pPr>
      <w:r>
        <w:rPr>
          <w:rFonts w:ascii="Arial" w:hAnsi="Arial" w:cs="Arial"/>
          <w:b/>
          <w:bCs/>
          <w:sz w:val="20"/>
          <w:szCs w:val="20"/>
        </w:rPr>
        <w:t>“Grozījumi Kredītiestāžu un ieguldījumu brokeru sabiedrību darbības atjaunošanas un noregulējuma likumā” (VSS-159)</w:t>
      </w:r>
    </w:p>
    <w:p w:rsidR="003C041D" w:rsidRDefault="003C041D" w:rsidP="003C041D">
      <w:pPr>
        <w:pStyle w:val="ListParagraph"/>
        <w:ind w:left="0"/>
      </w:pPr>
      <w:r>
        <w:rPr>
          <w:rFonts w:ascii="Arial" w:hAnsi="Arial" w:cs="Arial"/>
          <w:sz w:val="20"/>
          <w:szCs w:val="20"/>
        </w:rPr>
        <w:t xml:space="preserve">Tieslietu ministrija ir izskatījusi Finanšu ministrijas izstrādāto likumprojektu “Grozījumi Kredītiestāžu un ieguldījumu brokeru sabiedrību darbības atjaunošanas un noregulējuma likumā” un atbalsta tā tālāku virzību bez iebildumiem vai priekšlikumiem. </w:t>
      </w:r>
    </w:p>
    <w:p w:rsidR="003C041D" w:rsidRDefault="003C041D" w:rsidP="003C041D">
      <w:pPr>
        <w:pStyle w:val="ListParagraph"/>
        <w:ind w:left="0"/>
      </w:pPr>
      <w:r>
        <w:rPr>
          <w:rFonts w:ascii="Arial" w:hAnsi="Arial" w:cs="Arial"/>
          <w:sz w:val="20"/>
          <w:szCs w:val="20"/>
        </w:rPr>
        <w:t> </w:t>
      </w:r>
    </w:p>
    <w:p w:rsidR="003C041D" w:rsidRDefault="003C041D" w:rsidP="003C041D">
      <w:pPr>
        <w:pStyle w:val="ListParagraph"/>
        <w:numPr>
          <w:ilvl w:val="0"/>
          <w:numId w:val="6"/>
        </w:numPr>
        <w:ind w:left="360"/>
      </w:pPr>
      <w:r>
        <w:rPr>
          <w:rFonts w:ascii="Arial" w:hAnsi="Arial" w:cs="Arial"/>
          <w:b/>
          <w:bCs/>
          <w:sz w:val="20"/>
          <w:szCs w:val="20"/>
        </w:rPr>
        <w:t>“Grozījumi Finanšu konglomerātu likumā” (VSS-158).</w:t>
      </w:r>
    </w:p>
    <w:p w:rsidR="003C041D" w:rsidRDefault="003C041D" w:rsidP="003C041D">
      <w:r>
        <w:rPr>
          <w:rFonts w:ascii="Arial" w:hAnsi="Arial" w:cs="Arial"/>
          <w:sz w:val="20"/>
          <w:szCs w:val="20"/>
        </w:rPr>
        <w:t xml:space="preserve">Tieslietu ministrija ir izskatījusi Finanšu ministrijas izstrādāto likumprojektu “Grozījumi Finanšu konglomerātu likumā” un atbalsta tā tālāku virzību, vienlaikus uzturot tās izteikto iebildumu par Finanšu konglomerātu likuma 18. panta otrā daļu par ierobežojumiem jauktas finanšu </w:t>
      </w:r>
      <w:proofErr w:type="spellStart"/>
      <w:r>
        <w:rPr>
          <w:rFonts w:ascii="Arial" w:hAnsi="Arial" w:cs="Arial"/>
          <w:sz w:val="20"/>
          <w:szCs w:val="20"/>
        </w:rPr>
        <w:t>pārvaldītājsabiedrības</w:t>
      </w:r>
      <w:proofErr w:type="spellEnd"/>
      <w:r>
        <w:rPr>
          <w:rFonts w:ascii="Arial" w:hAnsi="Arial" w:cs="Arial"/>
          <w:sz w:val="20"/>
          <w:szCs w:val="20"/>
        </w:rPr>
        <w:t xml:space="preserve"> valdes locekļiem, kuru Tieslietu ministrijas ieskatā nepieciešams precizēt atbilstoši Satversmes tiesas 2020. gada 17. decembra sprieduma lietā Nr.2020-18-01 norādītajam.</w:t>
      </w:r>
    </w:p>
    <w:p w:rsidR="003C041D" w:rsidRDefault="003C041D" w:rsidP="003C041D">
      <w:pPr>
        <w:rPr>
          <w:rFonts w:ascii="Arial" w:hAnsi="Arial" w:cs="Arial"/>
          <w:sz w:val="20"/>
          <w:szCs w:val="20"/>
        </w:rPr>
      </w:pPr>
    </w:p>
    <w:p w:rsidR="003C041D" w:rsidRDefault="003C041D" w:rsidP="003C041D">
      <w:pPr>
        <w:rPr>
          <w:rFonts w:ascii="Arial" w:hAnsi="Arial" w:cs="Arial"/>
          <w:sz w:val="20"/>
          <w:szCs w:val="20"/>
        </w:rPr>
      </w:pPr>
    </w:p>
    <w:p w:rsidR="003C041D" w:rsidRDefault="003C041D" w:rsidP="003C041D">
      <w:pPr>
        <w:rPr>
          <w:rFonts w:ascii="Arial" w:hAnsi="Arial" w:cs="Arial"/>
          <w:color w:val="201F1E"/>
          <w:sz w:val="20"/>
          <w:szCs w:val="20"/>
          <w:bdr w:val="none" w:sz="0" w:space="0" w:color="auto" w:frame="1"/>
          <w:shd w:val="clear" w:color="auto" w:fill="FFFFFF"/>
          <w:lang w:val="en-US" w:eastAsia="lv-LV"/>
        </w:rPr>
      </w:pPr>
      <w:r w:rsidRPr="003C041D">
        <w:rPr>
          <w:rFonts w:ascii="Arial" w:hAnsi="Arial" w:cs="Arial"/>
          <w:i/>
          <w:iCs/>
          <w:color w:val="201F1E"/>
          <w:sz w:val="20"/>
          <w:szCs w:val="20"/>
          <w:bdr w:val="none" w:sz="0" w:space="0" w:color="auto" w:frame="1"/>
          <w:shd w:val="clear" w:color="auto" w:fill="FFFFFF"/>
          <w:lang w:eastAsia="lv-LV"/>
        </w:rPr>
        <w:t>Ar cieņu</w:t>
      </w:r>
      <w:r w:rsidRPr="003C041D">
        <w:rPr>
          <w:rFonts w:ascii="Arial" w:hAnsi="Arial" w:cs="Arial"/>
          <w:color w:val="201F1E"/>
          <w:sz w:val="20"/>
          <w:szCs w:val="20"/>
          <w:lang w:eastAsia="lv-LV"/>
        </w:rPr>
        <w:br/>
      </w:r>
      <w:r w:rsidRPr="003C041D">
        <w:rPr>
          <w:rFonts w:ascii="Arial" w:hAnsi="Arial" w:cs="Arial"/>
          <w:color w:val="201F1E"/>
          <w:sz w:val="20"/>
          <w:szCs w:val="20"/>
          <w:bdr w:val="none" w:sz="0" w:space="0" w:color="auto" w:frame="1"/>
          <w:shd w:val="clear" w:color="auto" w:fill="FFFFFF"/>
          <w:lang w:eastAsia="lv-LV"/>
        </w:rPr>
        <w:t> </w:t>
      </w:r>
      <w:r w:rsidRPr="003C041D">
        <w:rPr>
          <w:rFonts w:ascii="Tahoma" w:hAnsi="Tahoma" w:cs="Tahoma"/>
          <w:color w:val="201F1E"/>
          <w:sz w:val="20"/>
          <w:szCs w:val="20"/>
          <w:lang w:eastAsia="lv-LV"/>
        </w:rPr>
        <w:br/>
      </w:r>
      <w:r w:rsidRPr="003C041D">
        <w:rPr>
          <w:rFonts w:ascii="Arial" w:hAnsi="Arial" w:cs="Arial"/>
          <w:b/>
          <w:bCs/>
          <w:color w:val="201F1E"/>
          <w:sz w:val="20"/>
          <w:szCs w:val="20"/>
          <w:bdr w:val="none" w:sz="0" w:space="0" w:color="auto" w:frame="1"/>
          <w:shd w:val="clear" w:color="auto" w:fill="FFFFFF"/>
          <w:lang w:eastAsia="lv-LV"/>
        </w:rPr>
        <w:t>Gita Daukste</w:t>
      </w:r>
      <w:r w:rsidRPr="003C041D">
        <w:rPr>
          <w:rFonts w:ascii="Tahoma" w:hAnsi="Tahoma" w:cs="Tahoma"/>
          <w:color w:val="201F1E"/>
          <w:sz w:val="20"/>
          <w:szCs w:val="20"/>
          <w:lang w:eastAsia="lv-LV"/>
        </w:rPr>
        <w:br/>
      </w:r>
      <w:r w:rsidRPr="003C041D">
        <w:rPr>
          <w:rFonts w:ascii="Arial" w:hAnsi="Arial" w:cs="Arial"/>
          <w:color w:val="201F1E"/>
          <w:sz w:val="20"/>
          <w:szCs w:val="20"/>
          <w:bdr w:val="none" w:sz="0" w:space="0" w:color="auto" w:frame="1"/>
          <w:shd w:val="clear" w:color="auto" w:fill="FFFFFF"/>
          <w:lang w:eastAsia="lv-LV"/>
        </w:rPr>
        <w:t>Tieslietu ministrijas</w:t>
      </w:r>
      <w:r w:rsidRPr="003C041D">
        <w:rPr>
          <w:rFonts w:ascii="Tahoma" w:hAnsi="Tahoma" w:cs="Tahoma"/>
          <w:color w:val="201F1E"/>
          <w:sz w:val="20"/>
          <w:szCs w:val="20"/>
          <w:lang w:eastAsia="lv-LV"/>
        </w:rPr>
        <w:br/>
      </w:r>
      <w:r w:rsidRPr="003C041D">
        <w:rPr>
          <w:rFonts w:ascii="Arial" w:hAnsi="Arial" w:cs="Arial"/>
          <w:color w:val="201F1E"/>
          <w:sz w:val="20"/>
          <w:szCs w:val="20"/>
          <w:bdr w:val="none" w:sz="0" w:space="0" w:color="auto" w:frame="1"/>
          <w:shd w:val="clear" w:color="auto" w:fill="FFFFFF"/>
          <w:lang w:eastAsia="lv-LV"/>
        </w:rPr>
        <w:t>Civiltiesību departamenta</w:t>
      </w:r>
      <w:r w:rsidRPr="003C041D">
        <w:rPr>
          <w:rFonts w:ascii="Tahoma" w:hAnsi="Tahoma" w:cs="Tahoma"/>
          <w:color w:val="201F1E"/>
          <w:sz w:val="20"/>
          <w:szCs w:val="20"/>
          <w:lang w:eastAsia="lv-LV"/>
        </w:rPr>
        <w:br/>
      </w:r>
      <w:r w:rsidRPr="003C041D">
        <w:rPr>
          <w:rFonts w:ascii="Arial" w:hAnsi="Arial" w:cs="Arial"/>
          <w:color w:val="201F1E"/>
          <w:sz w:val="20"/>
          <w:szCs w:val="20"/>
          <w:bdr w:val="none" w:sz="0" w:space="0" w:color="auto" w:frame="1"/>
          <w:shd w:val="clear" w:color="auto" w:fill="FFFFFF"/>
          <w:lang w:eastAsia="lv-LV"/>
        </w:rPr>
        <w:t>Komerctiesību nodaļas juriste</w:t>
      </w:r>
      <w:r w:rsidRPr="003C041D">
        <w:rPr>
          <w:rFonts w:ascii="Tahoma" w:hAnsi="Tahoma" w:cs="Tahoma"/>
          <w:color w:val="201F1E"/>
          <w:sz w:val="20"/>
          <w:szCs w:val="20"/>
          <w:lang w:eastAsia="lv-LV"/>
        </w:rPr>
        <w:br/>
      </w:r>
      <w:r w:rsidRPr="003C041D">
        <w:rPr>
          <w:rFonts w:ascii="Arial" w:hAnsi="Arial" w:cs="Arial"/>
          <w:color w:val="201F1E"/>
          <w:sz w:val="20"/>
          <w:szCs w:val="20"/>
          <w:bdr w:val="none" w:sz="0" w:space="0" w:color="auto" w:frame="1"/>
          <w:shd w:val="clear" w:color="auto" w:fill="FFFFFF"/>
          <w:lang w:eastAsia="lv-LV"/>
        </w:rPr>
        <w:t>Tālr. 67036795</w:t>
      </w:r>
      <w:r w:rsidRPr="003C041D">
        <w:rPr>
          <w:rFonts w:ascii="Tahoma" w:hAnsi="Tahoma" w:cs="Tahoma"/>
          <w:color w:val="201F1E"/>
          <w:sz w:val="20"/>
          <w:szCs w:val="20"/>
          <w:lang w:eastAsia="lv-LV"/>
        </w:rPr>
        <w:br/>
      </w:r>
      <w:r w:rsidRPr="003C041D">
        <w:rPr>
          <w:rFonts w:ascii="Arial" w:hAnsi="Arial" w:cs="Arial"/>
          <w:color w:val="201F1E"/>
          <w:sz w:val="20"/>
          <w:szCs w:val="20"/>
          <w:bdr w:val="none" w:sz="0" w:space="0" w:color="auto" w:frame="1"/>
          <w:shd w:val="clear" w:color="auto" w:fill="FFFFFF"/>
          <w:lang w:eastAsia="lv-LV"/>
        </w:rPr>
        <w:t>Atrašanās vieta: Raiņa bulvārī 15, Rīgā, LV-1050.</w:t>
      </w:r>
      <w:r w:rsidRPr="003C041D">
        <w:rPr>
          <w:rFonts w:ascii="Tahoma" w:hAnsi="Tahoma" w:cs="Tahoma"/>
          <w:color w:val="201F1E"/>
          <w:sz w:val="20"/>
          <w:szCs w:val="20"/>
          <w:lang w:eastAsia="lv-LV"/>
        </w:rPr>
        <w:br/>
      </w:r>
      <w:proofErr w:type="spellStart"/>
      <w:r>
        <w:rPr>
          <w:rFonts w:ascii="Arial" w:hAnsi="Arial" w:cs="Arial"/>
          <w:color w:val="201F1E"/>
          <w:sz w:val="20"/>
          <w:szCs w:val="20"/>
          <w:bdr w:val="none" w:sz="0" w:space="0" w:color="auto" w:frame="1"/>
          <w:shd w:val="clear" w:color="auto" w:fill="FFFFFF"/>
          <w:lang w:val="en-US" w:eastAsia="lv-LV"/>
        </w:rPr>
        <w:t>Juridiskā</w:t>
      </w:r>
      <w:proofErr w:type="spellEnd"/>
      <w:r>
        <w:rPr>
          <w:rFonts w:ascii="Arial" w:hAnsi="Arial" w:cs="Arial"/>
          <w:color w:val="201F1E"/>
          <w:sz w:val="20"/>
          <w:szCs w:val="20"/>
          <w:bdr w:val="none" w:sz="0" w:space="0" w:color="auto" w:frame="1"/>
          <w:shd w:val="clear" w:color="auto" w:fill="FFFFFF"/>
          <w:lang w:val="en-US" w:eastAsia="lv-LV"/>
        </w:rPr>
        <w:t xml:space="preserve"> </w:t>
      </w:r>
      <w:proofErr w:type="spellStart"/>
      <w:r>
        <w:rPr>
          <w:rFonts w:ascii="Arial" w:hAnsi="Arial" w:cs="Arial"/>
          <w:color w:val="201F1E"/>
          <w:sz w:val="20"/>
          <w:szCs w:val="20"/>
          <w:bdr w:val="none" w:sz="0" w:space="0" w:color="auto" w:frame="1"/>
          <w:shd w:val="clear" w:color="auto" w:fill="FFFFFF"/>
          <w:lang w:val="en-US" w:eastAsia="lv-LV"/>
        </w:rPr>
        <w:t>adrese</w:t>
      </w:r>
      <w:proofErr w:type="spellEnd"/>
      <w:r>
        <w:rPr>
          <w:rFonts w:ascii="Arial" w:hAnsi="Arial" w:cs="Arial"/>
          <w:color w:val="201F1E"/>
          <w:sz w:val="20"/>
          <w:szCs w:val="20"/>
          <w:bdr w:val="none" w:sz="0" w:space="0" w:color="auto" w:frame="1"/>
          <w:shd w:val="clear" w:color="auto" w:fill="FFFFFF"/>
          <w:lang w:val="en-US" w:eastAsia="lv-LV"/>
        </w:rPr>
        <w:t xml:space="preserve">: </w:t>
      </w:r>
      <w:proofErr w:type="spellStart"/>
      <w:r>
        <w:rPr>
          <w:rFonts w:ascii="Arial" w:hAnsi="Arial" w:cs="Arial"/>
          <w:color w:val="201F1E"/>
          <w:sz w:val="20"/>
          <w:szCs w:val="20"/>
          <w:bdr w:val="none" w:sz="0" w:space="0" w:color="auto" w:frame="1"/>
          <w:shd w:val="clear" w:color="auto" w:fill="FFFFFF"/>
          <w:lang w:val="en-US" w:eastAsia="lv-LV"/>
        </w:rPr>
        <w:t>Brīvības</w:t>
      </w:r>
      <w:proofErr w:type="spellEnd"/>
      <w:r>
        <w:rPr>
          <w:rFonts w:ascii="Arial" w:hAnsi="Arial" w:cs="Arial"/>
          <w:color w:val="201F1E"/>
          <w:sz w:val="20"/>
          <w:szCs w:val="20"/>
          <w:bdr w:val="none" w:sz="0" w:space="0" w:color="auto" w:frame="1"/>
          <w:shd w:val="clear" w:color="auto" w:fill="FFFFFF"/>
          <w:lang w:val="en-US" w:eastAsia="lv-LV"/>
        </w:rPr>
        <w:t xml:space="preserve"> </w:t>
      </w:r>
      <w:proofErr w:type="spellStart"/>
      <w:r>
        <w:rPr>
          <w:rFonts w:ascii="Arial" w:hAnsi="Arial" w:cs="Arial"/>
          <w:color w:val="201F1E"/>
          <w:sz w:val="20"/>
          <w:szCs w:val="20"/>
          <w:bdr w:val="none" w:sz="0" w:space="0" w:color="auto" w:frame="1"/>
          <w:shd w:val="clear" w:color="auto" w:fill="FFFFFF"/>
          <w:lang w:val="en-US" w:eastAsia="lv-LV"/>
        </w:rPr>
        <w:t>bulvārī</w:t>
      </w:r>
      <w:proofErr w:type="spellEnd"/>
      <w:r>
        <w:rPr>
          <w:rFonts w:ascii="Arial" w:hAnsi="Arial" w:cs="Arial"/>
          <w:color w:val="201F1E"/>
          <w:sz w:val="20"/>
          <w:szCs w:val="20"/>
          <w:bdr w:val="none" w:sz="0" w:space="0" w:color="auto" w:frame="1"/>
          <w:shd w:val="clear" w:color="auto" w:fill="FFFFFF"/>
          <w:lang w:val="en-US" w:eastAsia="lv-LV"/>
        </w:rPr>
        <w:t xml:space="preserve"> 36, </w:t>
      </w:r>
      <w:proofErr w:type="spellStart"/>
      <w:r>
        <w:rPr>
          <w:rFonts w:ascii="Arial" w:hAnsi="Arial" w:cs="Arial"/>
          <w:color w:val="201F1E"/>
          <w:sz w:val="20"/>
          <w:szCs w:val="20"/>
          <w:bdr w:val="none" w:sz="0" w:space="0" w:color="auto" w:frame="1"/>
          <w:shd w:val="clear" w:color="auto" w:fill="FFFFFF"/>
          <w:lang w:val="en-US" w:eastAsia="lv-LV"/>
        </w:rPr>
        <w:t>Rīgā</w:t>
      </w:r>
      <w:proofErr w:type="spellEnd"/>
      <w:r>
        <w:rPr>
          <w:rFonts w:ascii="Arial" w:hAnsi="Arial" w:cs="Arial"/>
          <w:color w:val="201F1E"/>
          <w:sz w:val="20"/>
          <w:szCs w:val="20"/>
          <w:bdr w:val="none" w:sz="0" w:space="0" w:color="auto" w:frame="1"/>
          <w:shd w:val="clear" w:color="auto" w:fill="FFFFFF"/>
          <w:lang w:val="en-US" w:eastAsia="lv-LV"/>
        </w:rPr>
        <w:t>, LV-1536.</w:t>
      </w:r>
    </w:p>
    <w:p w:rsidR="003C041D" w:rsidRDefault="003C041D" w:rsidP="003C041D">
      <w:pPr>
        <w:rPr>
          <w:rFonts w:ascii="Arial" w:hAnsi="Arial" w:cs="Arial"/>
          <w:color w:val="201F1E"/>
          <w:sz w:val="4"/>
          <w:szCs w:val="4"/>
          <w:bdr w:val="none" w:sz="0" w:space="0" w:color="auto" w:frame="1"/>
          <w:shd w:val="clear" w:color="auto" w:fill="FFFFFF"/>
          <w:lang w:val="en-US" w:eastAsia="lv-LV"/>
        </w:rPr>
      </w:pPr>
    </w:p>
    <w:p w:rsidR="003C041D" w:rsidRDefault="003C041D" w:rsidP="003C041D">
      <w:pPr>
        <w:rPr>
          <w:rFonts w:ascii="Arial" w:hAnsi="Arial" w:cs="Arial"/>
          <w:sz w:val="20"/>
          <w:szCs w:val="20"/>
          <w:lang w:val="en-US" w:eastAsia="lv-LV"/>
        </w:rPr>
      </w:pPr>
      <w:r>
        <w:rPr>
          <w:rFonts w:ascii="Arial" w:hAnsi="Arial" w:cs="Arial"/>
          <w:noProof/>
          <w:sz w:val="20"/>
          <w:szCs w:val="20"/>
          <w:lang w:eastAsia="lv-LV"/>
        </w:rPr>
        <w:drawing>
          <wp:inline distT="0" distB="0" distL="0" distR="0">
            <wp:extent cx="1257300" cy="990600"/>
            <wp:effectExtent l="0" t="0" r="0" b="0"/>
            <wp:docPr id="1" name="Picture 1" descr="cid:image002.png@01D74D58.A6CCF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74D58.A6CCF630"/>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257300" cy="990600"/>
                    </a:xfrm>
                    <a:prstGeom prst="rect">
                      <a:avLst/>
                    </a:prstGeom>
                    <a:noFill/>
                    <a:ln>
                      <a:noFill/>
                    </a:ln>
                  </pic:spPr>
                </pic:pic>
              </a:graphicData>
            </a:graphic>
          </wp:inline>
        </w:drawing>
      </w:r>
    </w:p>
    <w:p w:rsidR="003C041D" w:rsidRDefault="003C041D"/>
    <w:sectPr w:rsidR="003C041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7F32DF"/>
    <w:multiLevelType w:val="multilevel"/>
    <w:tmpl w:val="A7529528"/>
    <w:lvl w:ilvl="0">
      <w:start w:val="1"/>
      <w:numFmt w:val="decimal"/>
      <w:lvlText w:val="%1."/>
      <w:lvlJc w:val="left"/>
      <w:pPr>
        <w:tabs>
          <w:tab w:val="num" w:pos="0"/>
        </w:tabs>
        <w:ind w:left="0" w:hanging="360"/>
      </w:pPr>
      <w:rPr>
        <w:b/>
        <w:bCs/>
      </w:rPr>
    </w:lvl>
    <w:lvl w:ilvl="1">
      <w:start w:val="1"/>
      <w:numFmt w:val="decimal"/>
      <w:lvlText w:val="%2."/>
      <w:lvlJc w:val="left"/>
      <w:pPr>
        <w:tabs>
          <w:tab w:val="num" w:pos="720"/>
        </w:tabs>
        <w:ind w:left="72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600"/>
        </w:tabs>
        <w:ind w:left="360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5040"/>
        </w:tabs>
        <w:ind w:left="5040" w:hanging="360"/>
      </w:pPr>
    </w:lvl>
    <w:lvl w:ilvl="8">
      <w:start w:val="1"/>
      <w:numFmt w:val="decimal"/>
      <w:lvlText w:val="%9."/>
      <w:lvlJc w:val="left"/>
      <w:pPr>
        <w:tabs>
          <w:tab w:val="num" w:pos="5760"/>
        </w:tabs>
        <w:ind w:left="5760" w:hanging="360"/>
      </w:pPr>
    </w:lvl>
  </w:abstractNum>
  <w:abstractNum w:abstractNumId="1" w15:restartNumberingAfterBreak="0">
    <w:nsid w:val="2DCB0546"/>
    <w:multiLevelType w:val="multilevel"/>
    <w:tmpl w:val="7924DF30"/>
    <w:lvl w:ilvl="0">
      <w:start w:val="2"/>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55B6653B"/>
    <w:multiLevelType w:val="multilevel"/>
    <w:tmpl w:val="B2ACE4E0"/>
    <w:lvl w:ilvl="0">
      <w:start w:val="6"/>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5D1956CF"/>
    <w:multiLevelType w:val="multilevel"/>
    <w:tmpl w:val="73EE0CE0"/>
    <w:lvl w:ilvl="0">
      <w:start w:val="4"/>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63A1E54"/>
    <w:multiLevelType w:val="multilevel"/>
    <w:tmpl w:val="88301554"/>
    <w:lvl w:ilvl="0">
      <w:start w:val="3"/>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03D35F5"/>
    <w:multiLevelType w:val="multilevel"/>
    <w:tmpl w:val="EDE651BA"/>
    <w:lvl w:ilvl="0">
      <w:start w:val="5"/>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41D"/>
    <w:rsid w:val="003C041D"/>
    <w:rsid w:val="00BE7CE7"/>
    <w:rsid w:val="00FA3F7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9EB7B"/>
  <w15:chartTrackingRefBased/>
  <w15:docId w15:val="{2F1A8DA5-2D2D-4F7F-BFEA-F4B9F4E93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041D"/>
    <w:rPr>
      <w:color w:val="0563C1" w:themeColor="hyperlink"/>
      <w:u w:val="single"/>
    </w:rPr>
  </w:style>
  <w:style w:type="paragraph" w:styleId="ListParagraph">
    <w:name w:val="List Paragraph"/>
    <w:basedOn w:val="Normal"/>
    <w:uiPriority w:val="34"/>
    <w:qFormat/>
    <w:rsid w:val="003C041D"/>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33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tm.gov.lv" TargetMode="Externa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Pasts@fm.gov.lv" TargetMode="External"/><Relationship Id="rId12" Type="http://schemas.openxmlformats.org/officeDocument/2006/relationships/hyperlink" Target="mailto:Beate.Gusarova@tm.gov.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aivis.hammers@fm.gov.lv" TargetMode="External"/><Relationship Id="rId11" Type="http://schemas.openxmlformats.org/officeDocument/2006/relationships/hyperlink" Target="mailto:Linda.Upite@tm.gov.lv" TargetMode="External"/><Relationship Id="rId5" Type="http://schemas.openxmlformats.org/officeDocument/2006/relationships/hyperlink" Target="mailto:Gita.Daukste@tm.gov.lv" TargetMode="External"/><Relationship Id="rId15" Type="http://schemas.openxmlformats.org/officeDocument/2006/relationships/fontTable" Target="fontTable.xml"/><Relationship Id="rId10" Type="http://schemas.openxmlformats.org/officeDocument/2006/relationships/hyperlink" Target="mailto:Sandis.Vilcans@tm.gov.lv" TargetMode="External"/><Relationship Id="rId4" Type="http://schemas.openxmlformats.org/officeDocument/2006/relationships/webSettings" Target="webSettings.xml"/><Relationship Id="rId9" Type="http://schemas.openxmlformats.org/officeDocument/2006/relationships/hyperlink" Target="mailto:egita.skibele@fm.gov.lv" TargetMode="External"/><Relationship Id="rId14" Type="http://schemas.openxmlformats.org/officeDocument/2006/relationships/image" Target="cid:image002.png@01D74D58.A6CCF6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2117</Words>
  <Characters>1207</Characters>
  <Application>Microsoft Office Word</Application>
  <DocSecurity>0</DocSecurity>
  <Lines>10</Lines>
  <Paragraphs>6</Paragraphs>
  <ScaleCrop>false</ScaleCrop>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Hammers</dc:creator>
  <cp:keywords/>
  <dc:description/>
  <cp:lastModifiedBy>Aivis Hammers</cp:lastModifiedBy>
  <cp:revision>2</cp:revision>
  <dcterms:created xsi:type="dcterms:W3CDTF">2021-05-20T08:55:00Z</dcterms:created>
  <dcterms:modified xsi:type="dcterms:W3CDTF">2021-08-15T18:47:00Z</dcterms:modified>
</cp:coreProperties>
</file>