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likumprojektā paredzēto grozījumu - likuma 34.panta trešās daļas svītrošanu (par aprobežojumu ierakstīšanu zemesgrāmatā) skaidrots ar to, ka Elektroniskā zemesgrāmata vairs neuztur un neieraksta tos apgrūtinājumus, kas noteikti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kā zemes īpašnieks tiks informēts par viņa zemes īpašumam noteiktu aprobežojumu, gadījumā, kad tiek izveidota jauna (vai notiek izmaiņas esošajā) aizsargājamā teritorija vai tās funkcionālā zona, vai Eiropas nozīmes aizsargājamo dabas teritorija (Natura 2000), kas skar viņa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11.10.2024.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11.10.2024.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