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25-TA-529: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Emisijas kvotu izsolīšanas instrumenta finansēto projektu atklāta konkursa "Plūdu risku mazināšanas, novēršanas  un noturības pret plūdiem veicināšanas pasākumi pašvaldībās"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Informāciju izziņas veidā vai tiešsaistes datu pārraides režīmā par šo noteikumu </w:t>
            </w:r>
            <w:r w:rsidR="00000000" w:rsidRPr="00000000" w:rsidDel="00000000">
              <w:rPr>
                <w:rtl w:val="0"/>
              </w:rPr>
              <w:t xml:space="preserve">19.1. </w:t>
            </w:r>
            <w:r w:rsidR="00000000" w:rsidRPr="00000000" w:rsidDel="00000000">
              <w:rPr>
                <w:rtl w:val="0"/>
              </w:rPr>
              <w:t xml:space="preserve">apakšpunktā</w:t>
            </w:r>
            <w:r w:rsidR="00000000" w:rsidRPr="00000000" w:rsidDel="00000000">
              <w:rPr>
                <w:rtl w:val="0"/>
              </w:rPr>
              <w:t xml:space="preserve"> minētajiem faktiem Vides investīciju fonds iegūst no Iekšlietu ministrijas Iekšlietu digitālā centra pārziņā esošās valsts informācijas sistēmas "Sodu reģistrs" un Eiropas Sodāmības reģistru informācijas sistēmas (ECRIS).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Sodu reģistra likuma 17. panta otro daļu, ja personām vai iestādēm, kurām ir tiesības saņemt ziņas no Sodu reģistra, nepieciešamas ziņas par Eiropas Savienības dalībvalsts valstspiederīgā aktuālo sodāmību Eiropas Savienības dalībvalstī, attiecīgās ziņas no Eiropas Savienības dalībvalsts centrālās iestādes pieprasa Iekšlietu digitālais centrs. Savukārt no projekta 21. punkta un projekta anotācijas var secināt, ka Vides investīciju fonds ziņas par ārvalstīs izdarītiem noziedzīgiem nodarījumiem iegūst tieši no Eiropas Sodāmības reģistru informācijas sistēmas (ECRIS). Tāpat projekta 19.1. apakšpunkts paredz pārbaudīt sodāmību par ārvalstī izdarītiem noziedzīgiem nodarījumiem. Līdz ar to informācija par sodāmību var tikt saņemta tādā apjomā, kādā tā ir attiecīgās Eiropas Savienības dalībvalsts centrālās iestādes rīcībā. Tomēr ECRIS nenodrošina ziņas par personas sodāmību ārpus Eiropas Savienības, tādēļ nav skaidrs, kā minētais nosacījums tiks pārbaudīts, ja noziedzīgais nodarījums izdarīts trešajā valstī. Ievērojot minēto, precizēt projekta 19.1. apakšpunktu un 21. punktu un projekta anotāciju, skaidri nosakot, ka informācijas apmaiņa ar citu Eiropas Savienības dalībvalstu centrālajām iestādēm notiek ar Iekšlietu digitālā centra starpniecību, kā arī nosakot kārtību, kādā iegūst un pārbauda ziņas par sodāmību trešajās valstīs.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Brūvele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Projekta iesniedzējs un sadarbības partneris visā projekta īstenošanas laikā nodrošina atbilstību šo noteikumu </w:t>
            </w:r>
            <w:r w:rsidR="00000000" w:rsidRPr="00000000" w:rsidDel="00000000">
              <w:rPr>
                <w:rtl w:val="0"/>
              </w:rPr>
              <w:t xml:space="preserve">19. </w:t>
            </w:r>
            <w:r w:rsidR="00000000" w:rsidRPr="00000000" w:rsidDel="00000000">
              <w:rPr>
                <w:rtl w:val="0"/>
              </w:rPr>
              <w:t xml:space="preserve">punktā</w:t>
            </w:r>
            <w:r w:rsidR="00000000" w:rsidRPr="00000000" w:rsidDel="00000000">
              <w:rPr>
                <w:rtl w:val="0"/>
              </w:rPr>
              <w:t xml:space="preserve"> minētajiem nosacījumiem, kuri saskaņā ar attiecīgā apakšpunkta saturu ir piemērojami projekta īstenošanas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projekta 20. punktam projekta iesniedzējam un sadarbības partnerim projekta īstenošanas laikā jānodrošina atbilstība projekta 19. punktā noteiktajiem nosacījumiem. Saskaņā ar projekta anotācijā ietverto skaidrojumu minētais nosacījums ir noteikts, lai nodrošinātu, ka projekta iesniedzējs un sadarbības partneris saglabā atbilstību finansējuma saņemšanas priekšnoteikumiem ne tikai projekta iesnieguma iesniegšanas un vērtēšanas laikā, bet arī visā projekta īstenošanas periodā. Projekta īstenošanas laikā var rasties apstākļi, kas ietekmē projekta iesniedzēja tiesības saņemt publisko finansējumu vai spēju pienācīgi īstenot projektu, tādēļ ir būtiski nodrošināt nepārtrauktu atbilstību noteiktajām prasībām. Tādējādi tiek aizsargātas valsts finanšu intereses un nodrošināts, ka finansējuma saņēmējs visā projekta īstenošanas laikā atbilst prasībām, kas bija par pamatu lēmuma pieņemšanai par finansējuma piešķiršanu. Tomēr projektā nav noteikta kārtība, kādā projekta īstenošanas laikā tiek uzraudzīta atbilstība projekta 19.1. apakšpunktā noteiktajam nosacījumam, tostarp nav skaidrs, vai un kādos gadījumos pārbaude veicama atkārtoti, kā arī kādas ir tiesiskās sekas, ja neatbilstība tiek konstatēta pēc projekta īstenošanas līguma noslēgšanas.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projekta 1. pielikumā nav paredzēts norādīt projekta 19.1. apakšpunktā minētās pārbaudāmās personas un šo personu nepārprotamai identificēšanai nepieciešamos datus. Līdz ar to nav viennozīmīgi saprotams, no kādiem informācijas avotiem un kādā kārtībā Vides investīciju fonds iegūs ziņas par visiem valdes un padomes locekļiem, prokūristiem un personām, kuras ir pilnvarotas pārstāvēt projekta iesniedzēju vai sadarbības partneri, jo īpaši par ārvalstniekiem.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precizēt projektu, tā 1. pielikumu un projekta anotāciju, nosakot pārbaudāmo personu identificēšanai nepieciešamo datu apjomu un to iegūšanas avotus, pārbaudes veikšanas brīdi un atkārtotas pārbaudes nosacījumus, projekta iesniedzēja un sadarbības partnera pienākumu informēt Vides investīciju fondu par attiecīgo personu maiņu, kā arī projekta īstenošanas laikā konstatētas neatbilstības tiesiskās sekas.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Brūvele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Emisijas kvotu izsolīšanas instrumenta finansēto projektu atklāta konkursa "Plūdu risku mazināšanas, novēršanas  un noturības pret plūdiem veicināšanas pasākumi pašvaldībās"  iesnieguma veidlapa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Civilās aizsardzības un katastrofas pārvaldīšanas likuma 4. panta pirmās daļas 1. punkta “b” apakšpunktu plūdi ir hidroloģiska dabas katastrofa. Atbilstoši Ministru kabineta 2017. gada 7. novembra noteikumu Nr. 658 “Noteikumi par civilās aizsardzības plānu struktūru un tajos iekļaujamo informāciju” 4.4. un 4.7.1. apakšpunktam sadarbības teritorijas civilās aizsardzības plānā ietver preventīvos, gatavības, reaģēšanas un seku likvidēšanas pasākumus atsevišķi katram riskam, kā arī pašvaldības vai pašvaldību resursus, kas iesaistāmi reaģēšanas un seku likvidēšanas pasākumos. Ievērojot minēto, izvērtēt nepieciešamību papildināt projekta 1. pielikuma 3.3.2. apakšpunktu, paredzot norādīt iegādājamo iekārtu, tehnikas un tehnoloģiju sasaisti ar civilās aizsardzības plānā ietvertajiem pasākumiem.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Brūvele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25-TA-529</w:t>
    </w:r>
    <w:r>
      <w:br/>
    </w:r>
    <w:r w:rsidR="00000000" w:rsidRPr="00000000" w:rsidDel="00000000">
      <w:rPr>
        <w:rtl w:val="0"/>
      </w:rPr>
      <w:t xml:space="preserve">Izdrukāts 27.08.2026. 19.59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25-TA-529</w:t>
    </w:r>
    <w:r>
      <w:br/>
    </w:r>
    <w:r w:rsidR="00000000" w:rsidRPr="00000000" w:rsidDel="00000000">
      <w:rPr>
        <w:rtl w:val="0"/>
      </w:rPr>
      <w:t xml:space="preserve">Izdrukāts 27.08.2026. 19.59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Atzinumi_25-TA-529.docx</dc:title>
</cp:coreProperties>
</file>

<file path=docProps/custom.xml><?xml version="1.0" encoding="utf-8"?>
<Properties xmlns="http://schemas.openxmlformats.org/officeDocument/2006/custom-properties" xmlns:vt="http://schemas.openxmlformats.org/officeDocument/2006/docPropsVTypes"/>
</file>