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uz Tieslietu ministrijas 2024. gada 23. augusta lūgumu anotācijas 5.4. apakšsadaļas 1. tabulā ietvert informāciju par to, kur un kā pārņemtas Eiropas Parlamenta un Padomes 2023. gada 13. septembra direktīvas (ES) 2023/1791 par energoefektivitāti un ar ko groza Regulu (ES) 2023/955 (pārstrādātā redakcija) (turpmāk – Direktīva 2023/1791) 14.-16., kā arī 18. panta prasības attiecībā uz aukstumapgādi, ņemot vērā, ka tās nav pārņemtas projektā, ietverts šāds skaidrojums: "</w:t>
            </w:r>
            <w:r w:rsidR="00000000" w:rsidRPr="00000000" w:rsidDel="00000000">
              <w:rPr>
                <w:i w:val="1"/>
                <w:rtl w:val="0"/>
              </w:rPr>
              <w:t xml:space="preserve">aukstumapgādes jautājumi un prasības pa šo nav saistošas, pamatojoties uz Latvijas klimatisko situāciju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Tiesas judikatūrā ir atzīts,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Eiropas Savienībā, ietverot dalībvalstis, kurās noteikta direktīvā minēta darbība nepastāv, jebkuros apstākļos skaidri un precīzi zinātu savas tiesības un pienākumus (šajā ziņā sk. Eiropas Savienības Tiesas 2010.gada 14.janvāra spriedumu lietā C 343/08 Komisija/Čehija 40. un 41.punkts un tajos norādīto judikatūru, ECLI:EU:C:2010:14).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ieskatā tas, ka direktīvā minētā darbība netiek veikta kādā dalībvalstī, neietekmē tās pienākumu transponēt direktīvu, ja nav iespējams izslēgt iespēju, ka šāda darbība varētu pastāvēt nākotnē. Attiecīgi Eiropas Savienības Tiesas 2001. gada 13. decembra spriedumā lietā C-372/00 Komisija/Īrija un 2002. gada 30. maija spriedumā lietā C-441/00 Komisija/Apvienotā Karaliste, tika nospriests, ka tas, ka Īrijā un Ziemeļīrijā nav ātrgaitas vilcienu, neatbrīvo Īriju un Lielbritānijas un Ziemeļīrijas Apvienoto Karalisti no pienākuma transponēt Padomes Direktīvu 96/48/EK par Eiropas ātrgaitas dzelzceļu sistēmas savstarpēju izmantojamību. Reizē norādām, ka Eiropas Savienības tiesa spriedumā lietā C-372/00 Komisija pret Īriju ([2001] ECR I-10303, 13.pkt.) un lietā 420/85 Komisija pret Itāliju ([1987] ECR 2983, 5.pkt.) atzinusi, ka ir pieļaujamas atkāpes no direktīvas transponēšanas pienākuma ģeogrāfisku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nodrošināt pilnīgu direktīvas prasību pārņemšanu, vai arī sniegt juridiski pamatotu skaidrojumu par pieļaujamību nepārņemt kādas direktīvas prasības, ņemot vērā iepriekš minētos apsvērumus un Eiropas Savienības Tiesas judikatūru.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daļa no anotācijas 1.1. apakšsadaļā ietvertās informācijas (piemēram, par metodikas izstrādes attālināti nolasāmiem individuāliem skaitītājiem, kas mēra mājsaimniecības karstā ūdens patēriņu katrā ēkas vienībā, nesamērīgumu) ir attiecināma uz izvēlētā risinājuma skaidrojumu, attiecīgi aicinām izvērtēt iespēju attiecīgo informāciju pārvietot uz anotācijas 1.3. apakšsadaļas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izziņas 9. punktā sniegto skaidrojumu par projektā ietvertā pienākuma daudzdzīvokļu mājā uzstādīt individuālos skaitītājus, kas mēra mājsaimniecības karstā ūdens patēriņu katrā ēkas vienībā, izņemot, ja tas nav tehniski iespējams vai ekonomiski pamatoti, un ar to saistītā regulējuma atbilstību Ēku energoefektivitātes likuma 4. panta otrajā daļā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Vienotā tiesību aktu projektu izstrādes un saskaņošanas portālā pieejamās informācijas izriet, ka grozījumi Ministru kabineta 2015. gada 15. septembra noteikumos Nr. 524 "Kārtība, kādā nosaka, aprēķina un uzskaita katra dzīvojamās mājas īpašnieka maksājamo daļu par dzīvojamās mājas uzturēšanai nepieciešamajiem pakalpojumiem" ir saskaņošanas stadijā (24-TA-729) un vēl nav pieņemti. Attiecīgi aicinām atjaunot anotācijas 4.1. apakšsadaļā ietverto informāciju. Papildus aicinām izvērtēt, vai nav nepieciešams noteikt šajā projektā un projektā 24-TA-729 ietverto normu, kas ir savstarpēji saistītas, vienādu spēkā stāšanās datumu.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projekta 1. punktā ietvertā noteikumu 5. punkta atbilstību </w:t>
            </w:r>
            <w:r w:rsidR="00000000" w:rsidRPr="00000000" w:rsidDel="00000000">
              <w:rPr>
                <w:rtl w:val="0"/>
              </w:rPr>
              <w:t xml:space="preserve">Direktīvas 2023/1791 15. panta 1. punktam, ņemot vērā Tieslietu ministrijas 2024. gada 23. augusta iebildumā paustos apsvērumus, tostarp par minētās direktīvas vienības gramatisko formulējumu, un, ja nepieciešams, precizēt projektu. Aicinām izziņā sniegtos skaidrojumus ietvert anotācijā. Papildus aicinām anotācijā izvērstāk skaidrot, vai Direktīvas 2023/1791 15. panta 1. punktam un direktīvas mērķim kopumā ir atbilstoša iespēja neuzstādīt </w:t>
            </w:r>
            <w:r w:rsidR="00000000" w:rsidRPr="00000000" w:rsidDel="00000000">
              <w:rPr>
                <w:u w:val="single"/>
                <w:rtl w:val="0"/>
              </w:rPr>
              <w:t xml:space="preserve">nevienu</w:t>
            </w:r>
            <w:r w:rsidR="00000000" w:rsidRPr="00000000" w:rsidDel="00000000">
              <w:rPr>
                <w:rtl w:val="0"/>
              </w:rPr>
              <w:t xml:space="preserve"> no noteikumu 5. punktā minētajām ierīcēm, ja minēto ierīču uzstādīšana nav tehniski iespējama vai nav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apakšsadalas 1. tabulā ietvert visus izziņas 1., 4. un 6. punktā sniegto skaidrojumu par Direktīvas 2023/1791 vienību (tostarp 14. panta,15. panta un 18. panta apakšvienību) pārņemšanu un rīcības brīvības izmantošanu, jo pašreiz tabulā ietverta tikai daļa no izziņā sniegtajiem skaidrojumiem. Papildus aicinām korekti skaidrot Direktīvas 2023/1791 18. panta 2. punkta otrajā daļā paredzētās rīcības brīvības izmantošanu, proti, nevis norādot, ka "prasība nav saistoša, jo paredz izvēles brīvību un nav obligāti transponējama", bet gan pēc būtības skaidrojot, vai rīcības brīvība ir izmantota un kādi ir rīcības brīvības izmantošanas vai neizmantošanas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tehniski precizēt tabulu (proti, aizpildīt attiecīgo tabulas daļu vai citādi precizēt apakšsadaļu par Eiropas Parlamenta un Padomes 2012. gada 25. oktobra Direktīvas 2012/27/ES par energoefektivitāti, ar ko groza Direktīvas 2009/125/EK un 2010/30/ES un atceļ Direktīvas 2004/8/EK un 2006/32/EK Dokuments attiecas uz EEZ (turpmāk - Direktīva 2012/27/ES)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Daudzdzīvokļu dzīvojamā mājā patērēto siltumenerģiju uzskaita atsevišķi katrai dzīvojamo un nedzīvojamo telpu grupai. Patērētās siltumenerģijas uzskaitē izmanto attālināti nolasāmus individuālus siltumenerģijas skaitītājus, individuālus siltuma maksas sadalītājus katram sildelementam vai siltumenerģijas patēriņa noteikšanas sistēmu, izmantojot tiešsaistē periodiski fiksētus siltumnesēja caurplūdes un apkures cauruļvadu virsmu temperatūras datus (turpmāk – siltumenerģijas patēriņa noteikšanas sistēma),  izņemot,  ja minēto ierīču uzstādīšana nav tehniski iespējama vai nav ekonomiski pamatota. Individuālie siltumenerģijas skaitītāji atbilst metroloģiskajām prasībām, kas noteiktas normatīvajos aktos par mērījumu vienotību, siltumenerģijas patēriņa noteikšanas sistēma atbilst dzīvojamās mājas īpašnieku un radioiekārtu regulējumā noteiktajām prasībām, un individuālie siltuma maksas sadalītāji atbilst prasībām, kas noteiktas standartā LVS EN 834+AC:2021 "Siltuma maksas sadalītāji dzīvokļa apsildes radiatoriem. Ierīces ar elektroenerģijas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projekta 1. punktā izteiktajā noteikumu 5. punktā veikts precizējums, paredzot, ka "siltumenerģijas patēriņa noteikšanas sistēma atbilst dzīvojamās mājas īpašnieku un radioiekārtu regulējumā noteiktajām prasībām". Aicinām anotācijā izvērstāk skaidrot, par kādām prasībām ir runa un kur tās ir noteiktas. Aicinām projektā atsauces veidot atbilstoši Ministru kabineta 2009. gada 3. februāra noteikumu Nr. 108 "Normatīvo aktu projektu sagatavošanas noteikumi" 3.7. apakšnodaļai, tostarp, ja nepieciešams, ietverot atsauci uz normatīvajiem aktiem noteiktā jomā atbilstoši minēto noteikumu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Daudzdzīvokļu dzīvojamā mājā uzstāda individuālos skaitītājus, kas mēra mājsaimniecības karstā ūdens patēriņu katrā ēkas vienībā, izņemot, ja to uzstādīšana nav tehniski iespējama vai nav ekonomiski pamatota attiecībā pret potenciālo enerģijas ietaupījumu. Individuālo skaitītāju, kas mēra mājsaimniecības karstā ūdens patēriņu katrā ēkas vienībā, uzstādīšanas tehnisko un ekonomisko pamatojumu izvērtē dzīvojamās mājas pārvaldītājs.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juridiskās tehnikas prasībām normu nepieciešams izteikt kā atsevišķu noteikumu punktu (piemēram, 5.</w:t>
            </w:r>
            <w:r w:rsidR="00000000" w:rsidRPr="00000000" w:rsidDel="00000000">
              <w:rPr>
                <w:vertAlign w:val="superscript"/>
                <w:rtl w:val="0"/>
              </w:rPr>
              <w:t xml:space="preserve">1</w:t>
            </w:r>
            <w:r w:rsidR="00000000" w:rsidRPr="00000000" w:rsidDel="00000000">
              <w:rPr>
                <w:rtl w:val="0"/>
              </w:rPr>
              <w:t xml:space="preserve"> punktu, nevis 5.1. apakšpunktu). Papildus atkārtoti aicinām izvērtēt iespēju to novietot sistēmiski un saturiski iederīgākā vietā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15. punkts stājas spēkā 2025. gada 12.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 punktā uz Tieslietu ministrijas 2024. gada 23. augusta iebildumu sniegts šāds skaidrojums: "</w:t>
            </w:r>
            <w:r w:rsidR="00000000" w:rsidRPr="00000000" w:rsidDel="00000000">
              <w:rPr>
                <w:i w:val="1"/>
                <w:rtl w:val="0"/>
              </w:rPr>
              <w:t xml:space="preserve">Prasība par jaunuzstādītiem individuāliem skaitītājiem, kas mēra mājsaimniecības karstā ūdens patēriņu katrā ēkas vienībā, </w:t>
            </w:r>
            <w:r w:rsidR="00000000" w:rsidRPr="00000000" w:rsidDel="00000000">
              <w:rPr>
                <w:i w:val="1"/>
                <w:u w:val="single"/>
                <w:rtl w:val="0"/>
              </w:rPr>
              <w:t xml:space="preserve">obligāti tiek noteikta no 2025. gada 12. oktobra saskaņā ar Direktīvas 2023/1791 39. pantā noteikto datumu</w:t>
            </w:r>
            <w:r w:rsidR="00000000" w:rsidRPr="00000000" w:rsidDel="00000000">
              <w:rPr>
                <w:i w:val="1"/>
                <w:rtl w:val="0"/>
              </w:rPr>
              <w:t xml:space="preserve"> un sniedzot iespēju pārvaldniekiem un dzīvokļu īpašniekiem laiku, izvērtēt mājas tehnisko iespējamību, maksātspēju un sagatavoties prasībai. Tajā pat laikā nav liegts jau šobrīd uzstādīt attālināti nolasāmas ierīces.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nepieciešamību paredzēt laika periodu privātpersonām sagatavoties tiesiskā regulējuma izmaiņām, tomēr reizē lūdzam sniegt skaidrojumu par projekta 7. punktā paredzētā termiņa atbilstību Eiropas Savienības tiesiskajam regulējumam. Proti, kā izziņā pareizi norādīts, saskaņā ar Direktīvas 2023/1791 39. pantu atsevišķas direktīvas vienības, tostarp 16. panta 1. punktu, piemēro no 2025. gada 12. oktobra. Tomēr šāds termiņš direktīvā paredzēts, jo ar Direktīvas 2023/1791 38. pantu Direktīvu 2012/27/ES atceļ no 2025. gada 12. oktobra. Direktīvas 2023/1791 16. panta 1. punktā ietvertā prasība saturiski atbilst Direktīvas 2012/27/ES 9.c panta 1. punktā ietvertajai prasībai, kura, kā anotācijā korekti norādīts, paredz, ka: "</w:t>
            </w:r>
            <w:r w:rsidR="00000000" w:rsidRPr="00000000" w:rsidDel="00000000">
              <w:rPr>
                <w:i w:val="1"/>
                <w:rtl w:val="0"/>
              </w:rPr>
              <w:t xml:space="preserve">jaunuzstādītiem skaitītājiem jābūt attālināti nolasāmiem [..] no 2020. gada 25. oktobra</w:t>
            </w:r>
            <w:r w:rsidR="00000000" w:rsidRPr="00000000" w:rsidDel="00000000">
              <w:rPr>
                <w:rtl w:val="0"/>
              </w:rPr>
              <w:t xml:space="preserve">" (proti, skaitītāji un siltummaksas sadalītāji, kas uzstādīti pēc 2020. gada 25. oktobra, ir attālināti nolasāmas ierīces). Attiecīgi aicinām sniegt skaidrojumu par attiecīgā Eiropas Savienības tiesiskā regulējuma pilnīgu pārņemšanu līdz šim un turpmāk un iespējamiem riskiem, kā arī izvērtēt iespēju termiņu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izteikt noteikumu 1. pielikumu jaunā redakcijā. Lūdzam anotācijā skaidrot, kādas izmaiņas paredzētas 1. pielikumā, jo pašreiz šāds pamatojums nav ietverts, vai novērst tehnisku kļūdu, svītrojot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03.10.2024.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03.10.2024.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Atzinumi_24-TA-1244.docx</dc:title>
</cp:coreProperties>
</file>

<file path=docProps/custom.xml><?xml version="1.0" encoding="utf-8"?>
<Properties xmlns="http://schemas.openxmlformats.org/officeDocument/2006/custom-properties" xmlns:vt="http://schemas.openxmlformats.org/officeDocument/2006/docPropsVTypes"/>
</file>