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1.3.sadaļā norādīto, ka </w:t>
            </w:r>
            <w:r w:rsidR="00000000" w:rsidRPr="00000000" w:rsidDel="00000000">
              <w:rPr>
                <w:i w:val="1"/>
                <w:rtl w:val="0"/>
              </w:rPr>
              <w:t xml:space="preserve">"Šī likumprojekta izpratnē valsts zinātniskā institūcija atbilst pētniecības un zināšanu izplatīšanas organizācijas statusam atbilstoši Komisijas 2014. gada 17. jūnija Regulas (ES) Nr. 651/2014, ar ko noteiktas atbalsta kategorijas atzīst par saderīgām ar iekšējo tirgu, piemērojot Līguma 107. un 108. pantu 2. panta 83. punktā noteiktajai definīcijai.", </w:t>
            </w:r>
            <w:r w:rsidR="00000000" w:rsidRPr="00000000" w:rsidDel="00000000">
              <w:rPr>
                <w:rtl w:val="0"/>
              </w:rPr>
              <w:t xml:space="preserve">jo saskaņā ar minēto Eiropas Komisijas izstrādāto komercdarbības atbalsta kontroles regulējumu, šāds pastāvīgs statuss nevienam netiek piešķirts. Pieņemot lēmumu par atbalsta piešķiršanu, atbilstība pētniecības un zināšanu izplatīšanas organizācijas statusam tiek vērtēta katrā individuālā gadījumā. Vienlaikus, ņemot vērā arī to, ka Zinātniskās darbības likumā nav ietverti nekādi nosacījumi, kas izriet no Komisijas regulas Nr.651/2014, šāda skaidrojuma sniegšana anotācijā nav korekta no juridiskās tehnikas viedokļa.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13.05.2024.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13.05.2024.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