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investīciju projektu attīstībai pašvaldību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tas tiek īstenots vienā no Inovatīvas uzņēmējdarbības un prioritāro projektu atbalsta likuma 3. panta pirmās daļas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Inovatīvas uzņēmējdarbības un prioritāro projektu atbalsta likuma 3. panta pirmās daļā lielāko īpatsvaru veido viedās specializācijas jomas (zināšanu ietilpīga bioekonomika, biomedicīna, medicīnas tehnoloģijas, farmācija, fotonika un viedie materiāli, tehnoloģijas un inženiersistēmas, viedā enerģētika un mobilitāte, informācijas un komunikācijas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sekmētu komersantu biznesa attīstību un nediskriminētu projektus, kuri nav vērsti uz viedās specializācijas jomām, rosinām paplašināt atbalsta tvērumu, izsakot Noteikumu projekta 2.1.1.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“2.1.1. tas tiek īstenots vienā no Inovatīvas uzņēmējdarbības un prioritāro projektu atbalsta likuma 3. panta pirmās daļas jomām </w:t>
            </w:r>
            <w:r w:rsidR="00000000" w:rsidRPr="00000000" w:rsidDel="00000000">
              <w:rPr>
                <w:i w:val="1"/>
                <w:u w:val="single"/>
                <w:rtl w:val="0"/>
              </w:rPr>
              <w:t xml:space="preserve">vai ir ievērots nosacījums ieguldījumu izslēdzošajām atbalsta nozarēm: (1) elektroenerģija, gāzes apgāde, siltumapgāde un gaisa kondicionēšana, ja darbība saistīta ar enerģijas ražošanu, pārveidi, pārvadi un sadali, kas iegūta no fosilajiem energoresursiem; (2) ūdensapgādes, kanalizācijas, atkritumu apsaimniekošanas darbības, izņemot otrreizējo pārstrādi; (3) vairumtirdzniecība un mazumtirdzniecība; (4) finanšu un apdrošināšanas darbības; (5) operācijas ar nekustamo īpašumu; (6) valsts pārvalde un aizsardzība, obligātā sociālā apdrošināšana; (7) azartspēles un derības; (8) tabakas audzēšana; (9) tabakas izstrādājumu ražošana; (10) akmeņogļu un lignīta ieguve; (11) jēlnaftas un dabasgāzes ieguve; (12) koksa un naftas pārstrādes produktu ražošana; (13) ārpusteritoriālu organizāciju un institūciju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sarindo tos pēc plānotā privātā investīciju apmēra pret publiskā finansējuma 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u w:val="single"/>
                <w:rtl w:val="0"/>
              </w:rPr>
              <w:t xml:space="preserve">detalizētāk skaidrot</w:t>
            </w:r>
            <w:r w:rsidR="00000000" w:rsidRPr="00000000" w:rsidDel="00000000">
              <w:rPr>
                <w:rtl w:val="0"/>
              </w:rPr>
              <w:t xml:space="preserve">, ko ietver </w:t>
            </w:r>
            <w:r w:rsidR="00000000" w:rsidRPr="00000000" w:rsidDel="00000000">
              <w:rPr>
                <w:b w:val="1"/>
                <w:rtl w:val="0"/>
              </w:rPr>
              <w:t xml:space="preserve">publiskās investīcijas</w:t>
            </w:r>
            <w:r w:rsidR="00000000" w:rsidRPr="00000000" w:rsidDel="00000000">
              <w:rPr>
                <w:rtl w:val="0"/>
              </w:rPr>
              <w:t xml:space="preserve"> un ko ietver </w:t>
            </w:r>
            <w:r w:rsidR="00000000" w:rsidRPr="00000000" w:rsidDel="00000000">
              <w:rPr>
                <w:b w:val="1"/>
                <w:rtl w:val="0"/>
              </w:rPr>
              <w:t xml:space="preserve">privātās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Projekti ir dažādi – gan īstenoti ar pašvaldības budžeta līdzekļiem, gan piesaistot ES fondu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projekti, kuros ir noteikti rādītāji, kas jāsasniedz (piemēram, privātās nefinanšu investīcijas nemateriālajos ieguldījumos un pamatlīdzekļos), līdz ar to būtu nepieciešama lielāka izpratne par to, kas ar šiem terminiem ir domāts.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w:t>
            </w:r>
            <w:r w:rsidR="00000000" w:rsidRPr="00000000" w:rsidDel="00000000">
              <w:rPr>
                <w:b w:val="1"/>
                <w:rtl w:val="0"/>
              </w:rPr>
              <w:t xml:space="preserve">privātām investīcijām</w:t>
            </w:r>
            <w:r w:rsidR="00000000" w:rsidRPr="00000000" w:rsidDel="00000000">
              <w:rPr>
                <w:rtl w:val="0"/>
              </w:rPr>
              <w:t xml:space="preserve"> tiek uzskatītas pašvaldības pašu investīcijas vai uzņēmēja ieguldītās investīcijas rādītāju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nodrošina, ka atbalstu saņem vismaz viens projekta iesniedzējs prioritāri Vidzemes, Kurzemes, Latgales un Zemgales reģionā, kas atbilst vismaz vienam no šiem kritērijiem, ņemot vērā 2023. gada un 2024. gada statistikas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paplašinātu atbalsta tvērumu, rosinām atjaunot Noteikuma projekta “iepriekšējo” redakciju, izsakot Noteikuma projekta 18.2.1.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“18.2.1. ierobežotāki resursi, ko novirzīt ekonomiskai attīstībai (mazāki iedzīvotāju ienākuma nodokļa ieņēmumi uz 1000 km2 teritorijas vai lielāks iedzīvotāju īpatsvars virs darbspējas vecuma);”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kā alternatīvu iepriekš minētajām Noteikuma projekta izmaiņām aicinām izvērtēt iespēju 18.2.1. apakšpunktā norādītos kritērijus izdalīt atsevišķi un 18.2.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“18.2. nodrošina, ka atbalstu saņem vismaz viens projekta iesniedzējs prioritāri Vidzemes, Kurzemes, Latgales un Zemgales reģionā, kas atbilst vismaz vienam no šiem kritērijiem, ņemot vērā 2023. gada un 2024. gada statistikas datus:</w:t>
            </w:r>
            <w:r w:rsidR="00000000" w:rsidRPr="00000000" w:rsidDel="00000000">
              <w:rPr>
                <w:i w:val="1"/>
                <w:rtl w:val="0"/>
              </w:rPr>
              <w:t xml:space="preserve">18.2.1. lielāks iedzīvotāju ienākuma nodokļa īpatsvara koeficienta samazinājums pēdējos 3 gados;</w:t>
            </w:r>
            <w:r w:rsidR="00000000" w:rsidRPr="00000000" w:rsidDel="00000000">
              <w:rPr>
                <w:i w:val="1"/>
                <w:rtl w:val="0"/>
              </w:rPr>
              <w:t xml:space="preserve">18.2.2. lielāks iedzīvotāju īpatsvars virs darbspējas vecuma;</w:t>
            </w:r>
            <w:r w:rsidR="00000000" w:rsidRPr="00000000" w:rsidDel="00000000">
              <w:rPr>
                <w:i w:val="1"/>
                <w:rtl w:val="0"/>
              </w:rPr>
              <w:t xml:space="preserve">18.2.3. augstāks attīstības potenciāls ar augošu dzimstību (dzimušo skaits uz 1000 iedzīvotājiem);</w:t>
            </w:r>
            <w:r w:rsidR="00000000" w:rsidRPr="00000000" w:rsidDel="00000000">
              <w:rPr>
                <w:i w:val="1"/>
                <w:rtl w:val="0"/>
              </w:rPr>
              <w:t xml:space="preserve">18.2.4. lielāki ekonomiskie izaicinājumi (bezdarba līmenis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normatīvajiem aktiem, iedzīvotāju ienākuma nodokli (turpmāk – IIN) katrai pašvaldībai ieskaita noteiktā procentuālā apmērā, kuru iegūst no faktiski samaksātās IIN gada summas, kas veikta par attiecīgajā pašvaldībā deklarētajiem nodarbinātajiem, šo summu attiecinot pret kopējo iekasēto IIN summu valstī. IIN īpatsvara koeficientam palielinoties vai samazinoties, attiecīgi, palielinās vai samazinās pašvaldības kārtējā gada IIN ieņēmumi un pieejamie resursi, tai skaitā, atbalstam investīciju projektiem attīstībai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11.06.2025. 18.16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11.06.2025. 18.16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