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"Šampētera nams" uztur savu iepriekš izteikto iebildumu par to, ka likuma grozījumos nepieciešams iekļaut normas par kapitālsabiedrības valdes locekļu sociālās aizsardzības jautājumiem (atvaļinājums, darbnespēja). Turklāt, Valsts kontrole jau uz šo problemātiku ir norādījusi 31.03.2020. atbilstības revīzijā “Vai valstij tieši un pastarpināti piederošo kapitālsabiedrību valdes locekļu atlīdzības regulējums ir pietiekams?”. Ņemot vērā minēto ir būtiski rast risinājumu tiesiski nenoteiktajai situācijai par valdes locekļu atpūtas laiku un gadījumiem, kad valdes loceklis ilgstoši atrodas prombūtnē, jo katra kapitālsabiedrība šo jautājumu līdz šim ir interpretējusi un piemērojusi dažādi, kas neveici labās pārvaldības principa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Krūmiņa (Šampētera nams)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05.02.2024.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05.02.2024.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