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kapitālsabiedrību dāvināšanu (ziedošanu)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kapitālsabiedrību dāvināšanu (ziedošanu)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nosaukumu. Rīkojuma projekta nosaukums īsumā atspoguļo rīkojuma projekta būtību. Šobrīd ar rīkojuma projekta nosaukumu tiek radīts priekšstats, ka rīkojuma projekts ir saistīts ar valsts kapitālsabiedrību dāvināšanu (ziedošanu) (ka valsts kapitālsabiedrības tiek dāvinātas (ziedotas)), lai gan rīkojuma projekts pēc būtības ir saistīts ar valsts kapitālsabiedrību darījumiem - dāvinājumiem un ziedojumiem.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kapitālsabiedrību dāvinājumiem (ziedojumiem)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Estere Strautiņa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valsts kapitālsabiedrībai vai kapitālsabiedrībai, kurā valsts daļa pamatkapitālā pārsniedz 50 procentus, un kapitālsabiedrībai, kurā vienas vai vairāku valsts kapitālsabiedrību daļa pamatkapitālā atsevišķi vai kopumā pārsniedz 50 procentus, pirms dāvinājuma (ziedojuma) veikšanas saņemt Ministru kabineta atļauju, ja atsevišķa dāvinājuma (ziedojuma) summa pārsniedz 100 000 </w:t>
            </w:r>
            <w:r w:rsidR="00000000" w:rsidRPr="00000000" w:rsidDel="00000000">
              <w:rPr>
                <w:i w:val="1"/>
                <w:rtl w:val="0"/>
              </w:rPr>
              <w:t xml:space="preserve">euro </w:t>
            </w:r>
            <w:r w:rsidR="00000000" w:rsidRPr="00000000" w:rsidDel="00000000">
              <w:rPr>
                <w:rtl w:val="0"/>
              </w:rPr>
              <w:t xml:space="preserve">vai kalendārajā gadā veikto dāvinājumu (ziedojumu) kopsumma pārsniedz 100 000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projektu atbilstoši Publiskas personas finanšu līdzekļu un mantas izšķērdēšanas novēršanas likuma (turpmāk – Izšķērdēšanas novēršanas likums) 11. panta ceturtās daļas pilnvarojumam, tas ir, norādot kapitālsabiedrību sarakstu, kurām nepieciešams dāvinājumu (ziedojumu) veikšanai saņemt Ministru kabineta atļauju, papildus norādot darījuma robežvērtību, kas tiek uzskatīta par nozīmīgu, lai Ministru kabinetam būtu nepieciešams šāda darījuma lietderību 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Izšķērdēšanas novēršanas likuma 11. panta ceturtā daļa nosaka Ministru kabinetam tiesības noteikt valsts kapitālsabiedrības vai kapitālsabiedrības, kurās valsts daļa pamatkapitālā pārsniedz 50 procentus, un kapitālsabiedrības, kurās vienas vai vairāku valsts kapitālsabiedrību daļa pamatkapitālā atsevišķi vai kopumā pārsniedz 50 procentus, kuras var dāvināt (ziedot) tikai ar Ministru kabineta atļauju. Šī norma likuma grozījumos tika iekļauta pēc Finanšu ministrijas priekšlikuma “Par priekšlikumu likumprojektam “Grozījumi Publiskas personas finanšu līdzekļu un mantas izšķērdēšanas novēršanas likumā “ (Nr. 33/Lp14) pirms 3. lasījuma”. Finanšu ministrijas priekšlikumā ir norādīts, ka “...Ministru kabinetam ir tiesības izdot rīkojumu, nosakot tās kapitālsabiedrības, kurām ir jāsaņem Ministru kabineta atļauja pirms dāvinājuma (ziedojuma) darījumu veikšanas. Ministru kabinets papildus var noteikt dāvinājuma (ziedojuma)  darījuma robežvērtību, kas var tik uzskatīta par nozīmīgu, lai Ministru kabinets vērtētu tā izlietojuma lietderību,..." Tādējādi, no iepriekš minētā var secināt, ka Izšķērdēšanas novēršanas likuma 11.panta ceturtā daļa ietver pilnvarojumu Ministru kabinetam noteikt konkrētas kapitālsabiedrības, papildus nosakot darījuma robežvērtību, kuru sasniedzot attiecīgajām kapitālsabiedrībām būs nepieciešama Ministru kabineta atļauja dāvinājuma (ziedojuma) darījuma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Estere Strautiņa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23-TA-2710</w:t>
    </w:r>
    <w:r>
      <w:br/>
    </w:r>
    <w:r w:rsidR="00000000" w:rsidRPr="00000000" w:rsidDel="00000000">
      <w:rPr>
        <w:rtl w:val="0"/>
      </w:rPr>
      <w:t xml:space="preserve">Izdrukāts 15.12.2023.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23-TA-2710</w:t>
    </w:r>
    <w:r>
      <w:br/>
    </w:r>
    <w:r w:rsidR="00000000" w:rsidRPr="00000000" w:rsidDel="00000000">
      <w:rPr>
        <w:rtl w:val="0"/>
      </w:rPr>
      <w:t xml:space="preserve">Izdrukāts 15.12.2023.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Atzinumi_23-TA-2710.docx</dc:title>
</cp:coreProperties>
</file>

<file path=docProps/custom.xml><?xml version="1.0" encoding="utf-8"?>
<Properties xmlns="http://schemas.openxmlformats.org/officeDocument/2006/custom-properties" xmlns:vt="http://schemas.openxmlformats.org/officeDocument/2006/docPropsVTypes"/>
</file>