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projekta 8.punktam finansējums 2.2.1.4.i. investīcijas "Finanšu instrumenti komersantu digitālās transformācijas veicināšanai" īstenošanai tiks palielināts par 3 515 154 euro, lūdzam attiecīgi aizpildīt anotācijas 3.sadaļu, sniedzot informāciju par projekta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palielināt atbalsta programmai pieejamā finansējuma apmēru par 3 515 154 euro, lūdzam pievienot aktualizētu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Ja minētā informācija uz doto brīdi nav pieejama, lūdzam papildināt Ministru kabineta protokollēmuma projektu ar uzdevumu Ekonomikas ministrijai viena mēneša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izvērtēt, vai plānotie grozījumi investīcijas finansējumā un rādītājos uzskatāmi par redakcionāliem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noteikt pārejas nosacījumus NACE grozījumu punktu piemērošanai gala saņēmēju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"Problēmas apraksta" 1.punktu atbilstoši Atveseļošanas fonda plāna otrajam papildinājumam, kas apstiprināts Ministru kabinetā 18.12.2024., pieņemts Eiropas Padomē 18.02.2025. Vēršam uzmanību, ka 2023.gada 26.septembrī MK apstiprinātais dokuments ir Atveseļošanas fonda plāna pirmais papildinājums.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MK noteikumu projektā iekļautajiem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Papildināšana ar regulām - Komisijas 2013. gada 18. decembra Regulas (ES) Nr. 1408/2013 par Līguma par Eiropas Savienības darbību 107. un 108. panta piemērošanu de minimis atbalstam lauksaimniecības nozarē un Komisijas 2014. gada 27. jūnija Regulas (ES)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Terminoloģijas maiņa noteikumu tekstā no "komersants" uz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izvērtējumu par ierosināto grozījumu ietekmi uz finansējuma saņēmēju un gala labuma guvējiem, tajā skaitā, vai būs nepieciešami grozījumi noslēgtajā līgumā par projekta īstenošanu. Tāpat lūdzam papildināt anotāciju ar informāciju, ka ir plānota finansējuma saņēmēja informēšana par grozījumiem, pēc to apstiprināšanas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viens vienots uzņēmums –  ja </w:t>
            </w:r>
            <w:r w:rsidR="00000000" w:rsidRPr="00000000" w:rsidDel="00000000">
              <w:rPr>
                <w:i w:val="1"/>
                <w:rtl w:val="0"/>
              </w:rPr>
              <w:t xml:space="preserve">de minimis</w:t>
            </w:r>
            <w:r w:rsidR="00000000" w:rsidRPr="00000000" w:rsidDel="00000000">
              <w:rPr>
                <w:rtl w:val="0"/>
              </w:rPr>
              <w:t xml:space="preserve"> atbalsts piešķirts atbilstoši Komisijas 2023. gada 13. decembra Regulai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w:t>
            </w:r>
            <w:r w:rsidR="00000000" w:rsidRPr="00000000" w:rsidDel="00000000">
              <w:rPr>
                <w:rtl w:val="0"/>
              </w:rPr>
              <w:t xml:space="preserve">2023/2831</w:t>
            </w:r>
            <w:r w:rsidR="00000000" w:rsidRPr="00000000" w:rsidDel="00000000">
              <w:rPr>
                <w:rtl w:val="0"/>
              </w:rPr>
              <w:t xml:space="preserve">), Komisijas 2013. gada 18. decembra Regulas (ES) Nr. 1408/2013 par Līguma par Eiropas Savienības darbību 107. un 108. panta piemērošanu de minimis atbalstam lauksaimniecības nozarē (turpmāk – Komisijas regula Nr. 1408/2013) vai Komisijas 2014. gada 27. jūnija Regulas (ES) Nr. 717/2014 par Līguma par Eiropas Savienības darbību 107. un 108. panta piemērošanu de minimis atbalstam zvejniecības un akvakultūras nozarē (Eiropas Savienības Oficiālais Vēstnesis, 2014. gada 28. jūnijs, Nr. L 190/45) (turpmāk – Komisijas regula Nr. 717/2014) tas attiecas uz saimnieciskās darbības veicēju un ietver visus ar to saistītos uzņēmumus, starp kuriem pastāv vismaz vienas Komisijas regulas Nr. </w:t>
            </w:r>
            <w:r w:rsidR="00000000" w:rsidRPr="00000000" w:rsidDel="00000000">
              <w:rPr>
                <w:rtl w:val="0"/>
              </w:rPr>
              <w:t xml:space="preserve">2023/2831</w:t>
            </w:r>
            <w:r w:rsidR="00000000" w:rsidRPr="00000000" w:rsidDel="00000000">
              <w:rPr>
                <w:rtl w:val="0"/>
              </w:rPr>
              <w:t xml:space="preserve"> 2. panta 2. punktā, Komisijas regulas Nr. 1408/2013 2. panta 2.punktā vai Komisijas regulas Nr. 717/2014 2. panta 2. punktā minētās attiecības.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projekts tiek papildināts ar Zemkopības ministrijas kompetencē esošiem regulējumiem - </w:t>
            </w:r>
            <w:r w:rsidR="00000000" w:rsidRPr="00000000" w:rsidDel="00000000">
              <w:rPr>
                <w:i w:val="1"/>
                <w:rtl w:val="0"/>
              </w:rPr>
              <w:t xml:space="preserve">Komisijas 2013.gada 18.decembra Regulu (ES) Nr.1408/2013 par Līguma par Eiropas Savienības darbību 107. un 108. panta piemērošanu de minimis atbalstam lauksaimniecības nozarē</w:t>
            </w:r>
            <w:r w:rsidR="00000000" w:rsidRPr="00000000" w:rsidDel="00000000">
              <w:rPr>
                <w:rtl w:val="0"/>
              </w:rPr>
              <w:t xml:space="preserve"> un </w:t>
            </w:r>
            <w:r w:rsidR="00000000" w:rsidRPr="00000000" w:rsidDel="00000000">
              <w:rPr>
                <w:i w:val="1"/>
                <w:rtl w:val="0"/>
              </w:rPr>
              <w:t xml:space="preserve">Komisijas 2014.gada 27.jūnija Regulu (ES) Nr.717/2014 par Līguma par Eiropas Savienības darbību 107. un 108. panta piemērošanu de minimis atbalstam zvejniecības un akvakultūras nozarē</w:t>
            </w:r>
            <w:r w:rsidR="00000000" w:rsidRPr="00000000" w:rsidDel="00000000">
              <w:rPr>
                <w:rtl w:val="0"/>
              </w:rPr>
              <w:t xml:space="preserve">, lūdzam šo noteikumu projektu saskaņot arī ar Zemkopības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9.2.apakšpunktā iekļauto rādītāju nosaukumus atbilstoši 18.02.2025. apstiprinātajiem CID grozījumiem - </w:t>
            </w:r>
            <w:r w:rsidR="00000000" w:rsidRPr="00000000" w:rsidDel="00000000">
              <w:rPr>
                <w:i w:val="1"/>
                <w:rtl w:val="0"/>
              </w:rPr>
              <w:t xml:space="preserve">Padomes īstenošanas lēmumam, ar ko groza 2021. gada 13. jūlija īstenošanas lēmumu par Latvijas atveseļošanas un noturības plāna novērtējuma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korupciju, krāpšanu un interešu konfliktu saskaņā ar Komisijas 2018. gada 18. jūlija Regulas (ES)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atsauci noteikumu projekta 15.1. apakšpunktā un anotācijā uz aktuālo Regulu 2024/2509.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Regulas 2024/2509 279. pantu atsauces uz atcelto regulu uzskata par atsaucēm uz Regulu 2024/2509, un tās lasa saskaņā ar atbilstības tabulu Regulas 2024/2509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 (Ance Rudzīte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07.03.2025.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24-TA-3304</w:t>
    </w:r>
    <w:r>
      <w:br/>
    </w:r>
    <w:r w:rsidR="00000000" w:rsidRPr="00000000" w:rsidDel="00000000">
      <w:rPr>
        <w:rtl w:val="0"/>
      </w:rPr>
      <w:t xml:space="preserve">Izdrukāts 07.03.2025.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Atzinumi_24-TA-3304.docx</dc:title>
</cp:coreProperties>
</file>

<file path=docProps/custom.xml><?xml version="1.0" encoding="utf-8"?>
<Properties xmlns="http://schemas.openxmlformats.org/officeDocument/2006/custom-properties" xmlns:vt="http://schemas.openxmlformats.org/officeDocument/2006/docPropsVTypes"/>
</file>