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3.1. prioritātes "Ilgtspējīga TEN-T infrastruktūra" 3.1.1. specifiskā atbalsta mērķa "Attīstīt ilgtspējīgu, pret klimatu izturīgu, inteliģentu, drošu un vairākveidu TEN-T infrastruktūru" 3.1.1.1. pasākuma "Dzelzceļa transporta attīstība un energoefektivitātes uzlabošana sabiedriskajos pasažieru pārvadājumos" un 3.1.1.3. pasākuma "Eiropas transporta tīklā esošās dzelzceļa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veikt projektu Nr.6.2.1.2/21/I/001 “Dzelzceļa pasažieru infrastruktūras modernizācija” un Nr.6.2.1.2/22/I/002 “Dzelzceļa infrastruktūras modernizācija vilcienu kustības ātruma paaugstināšanai” īstenošanai nepieciešamo Kohēzijas fonda  finansējuma 52 395 743</w:t>
            </w:r>
            <w:r w:rsidR="00000000" w:rsidRPr="00000000" w:rsidDel="00000000">
              <w:rPr>
                <w:i w:val="1"/>
                <w:rtl w:val="0"/>
              </w:rPr>
              <w:t xml:space="preserve"> euro </w:t>
            </w:r>
            <w:r w:rsidR="00000000" w:rsidRPr="00000000" w:rsidDel="00000000">
              <w:rPr>
                <w:rtl w:val="0"/>
              </w:rPr>
              <w:t xml:space="preserve">apmērā pārdali no Programmas 3.1.1.2.pasākuma “Valsts galveno autoceļu TEN-T tīklā attīstība”  pirms pozitīva Eiropas Komisijas lēmuma par Programmas grozījumiem  saņemšanas.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atbilstoši kompetencei ir izskatījusi Satiksmes ministrijas precizēto noteikumu projektu, anotāciju un protokollēmuma projektu un informē, ka pēc būtības saskaņo to bez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līdz šim vēl nav panākta konceptuāla vienošanās par Satiksmes ministrijas pārziņā esošā ES fondu finansējuma pārdalēm kopumā, t.sk. Ministru komitejas Eiropas Savienības fondu jautājumos 2024.gada 25.aprīļa sēdē Satiksmes ministrijai tika lūgts sagatavot papildu informāciju par izvērtētajām pārdaļu alternatīvām, lai šo jautājumu skatītu atkārtoti, attiecīgi, ņemot vērā, ka noteikumu projektā tiek paredzēta 52 milj. EUR Kohēzijas fonda finansējuma pārdale no 3.1.1.2.pasākuma “Valsts galveno autoceļu TEN-T tīklā attīstība”, lūdzam Satiksmes ministriju virzīt noteikumu projektu apstiprināšanai Ministru kabinetā tikai pēc tam, kad būs panākta konceptuāla vienošanās par visu Satiksmes ministrijas pārraudzībā esošo pasākumu finansējuma pārdaļu priekšlikumu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Otrās atlases kārtas 3.1.1.1.pasākuma ietvaros plānotais kopējais finansējums ir ne mazāks kā 264 920 522 euro (tai skaitā elastības finansējuma apjoms – 41 870 573 euro), tai skaitā Kohēzijas fonda finansējums 225 182 443 euro (tai skaitā elastības finansējuma apjoms – 35 589 987 euro) un nacionālais līdzfinansējums – ne mazāks kā 39 738 079  euro (tai skaitā elastības finansējuma apjoms  6 280 586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 un 16.punktu, skaidri norādot, ka nacionālo līdzfinansējumu veido privātais finansējums, attiecīgus precizējumus veicot arī anotācijas 1.3.sadaļas tekstā. Vienlaikus lūdzam precizēt arī anotācijas 3.sadaļas 6.punkta pēdējā rindkopā sniegto informāciju, skaidri norādot, ka nacionālo līdzfinansējumu veido privātais finansējums, ņemot vērā šī paša punkta tabulās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14. un 15.punktā norādītā elastības finansējuma apmēru atbilstoši aktuālajai situācijai pēc papildu finansējuma pārdales posmojamo projektu īstenošanai, attiecīgi veicot precizējumus arī noteikumu projekta 16. un 17.punktā norādītajā informācijā attiecībā uz pieejamā finansējuma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(Guna Federe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23-TA-612</w:t>
    </w:r>
    <w:r>
      <w:br/>
    </w:r>
    <w:r w:rsidR="00000000" w:rsidRPr="00000000" w:rsidDel="00000000">
      <w:rPr>
        <w:rtl w:val="0"/>
      </w:rPr>
      <w:t xml:space="preserve">Izdrukāts 14.05.2024. 19.38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23-TA-612</w:t>
    </w:r>
    <w:r>
      <w:br/>
    </w:r>
    <w:r w:rsidR="00000000" w:rsidRPr="00000000" w:rsidDel="00000000">
      <w:rPr>
        <w:rtl w:val="0"/>
      </w:rPr>
      <w:t xml:space="preserve">Izdrukāts 14.05.2024. 19.38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Atzinumi_23-TA-612.docx</dc:title>
</cp:coreProperties>
</file>

<file path=docProps/custom.xml><?xml version="1.0" encoding="utf-8"?>
<Properties xmlns="http://schemas.openxmlformats.org/officeDocument/2006/custom-properties" xmlns:vt="http://schemas.openxmlformats.org/officeDocument/2006/docPropsVTypes"/>
</file>