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Dzīvojamo māju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14.</w:t>
            </w:r>
            <w:r w:rsidR="00000000" w:rsidRPr="00000000" w:rsidDel="00000000">
              <w:rPr>
                <w:b w:val="1"/>
                <w:vertAlign w:val="superscript"/>
                <w:rtl w:val="0"/>
              </w:rPr>
              <w:t xml:space="preserve">1</w:t>
            </w:r>
            <w:r w:rsidR="00000000" w:rsidRPr="00000000" w:rsidDel="00000000">
              <w:rPr>
                <w:b w:val="1"/>
                <w:rtl w:val="0"/>
              </w:rPr>
              <w:t xml:space="preserve"> Pārvaldnieka kompetence būvniecības ierosināšanā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Pārvaldnieks ir tiesīgs: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pasūtīt ēkas energosertifikāciju, kā arī būves tehnisko apsekošanu;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savā vārdā ierosināt būvniecību, lai nodrošinātu dzīvojamās mājas uzturēšanu vai tās atbilstību energoefektivitātes minimālajām prasībām,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dzīvojamai mājai veiktie izdevumi atzīstami par nepieciešamajiem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būvdarbu nepieciešamība izriet no būves tehniskās apsekošanas atzinumā norādītajiem ieteikumiem vai arī ēkas energoefektivitātes klase neatbilst ēku energoefektivitātes minimālajam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par būvniecības ierosināšanu pārvaldnieks Dzīvokļa īpašuma likuma noteiktajā kārtībā ir sasaucis kopsapulci un kopsapulce nav bijusi lemttiesīga, kā arī sasaucis Dzīvokļa īpašuma likuma 19.</w:t>
            </w:r>
            <w:r w:rsidR="00000000" w:rsidRPr="00000000" w:rsidDel="00000000">
              <w:rPr>
                <w:vertAlign w:val="superscript"/>
                <w:rtl w:val="0"/>
              </w:rPr>
              <w:t xml:space="preserve">1</w:t>
            </w:r>
            <w:r w:rsidR="00000000" w:rsidRPr="00000000" w:rsidDel="00000000">
              <w:rPr>
                <w:rtl w:val="0"/>
              </w:rPr>
              <w:t xml:space="preserve"> pantā norādīto atkārtotu kopsapulci  un atkārtotā kopsapulce nav bijusi lemttiesīga;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par šā panta pirmajā daļā minētajiem jautājumiem kopsapulci un atkārtotu kopsapulci sasauc tikai izmantojot Būvniecības informācijas sistēmas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Izdevumus, kuri pārvaldniekam radušies, rīkojoties saskaņā ar šā panta pirmo daļu, dzīvojamās mājas īpašnieks atlīdzina pārvaldniekam atbilstoši tā noteiktajam maksājumu grafikam. Izdevumos ietilpst arī atlīdzība kreditoram par pārvaldnieka piesaistītajiem finanšu līdzekļiem, kas nedrīkst pārsniegt iepriekšējā ceturkšņa vidējo svērto aizdevuma procentu tirgus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dzīvokļa īpašnieks vai kopīpašnieks, ievērojot viņa mantisko stāvokli, nevar atlīdzināt izdevumus atbilstoši šā panta trešajai daļai vai arī tas būtu pārmērīgi apgrūtinoši, viņš var prasīt pārvaldniekam pagarināt izdevumu atmaksas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pārskatīt 14.1 panta pirmās daļas 2.punkta d) apakšpunktu par kopsapulču sasaukšanu izmantojot tikai BIS funkcionalitāti. Lielākā daļa dzīvokļu īpašnieku nelieto BIS (vairāki faktori, datorpratība, interneta pieslēguma neesamība u.c.). Līdz ar to iespējams veidosies situācija, ka šāds risinājums būs paredzami ērtāks attiecīgo dzīvojamo māju Pārvaldniekiem un pastāv risks, ka šādā gadījumā iespējams netiks nodrošināta dzīvokļu īpašnieku iesaiste izlemjamo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14.</w:t>
            </w:r>
            <w:r w:rsidR="00000000" w:rsidRPr="00000000" w:rsidDel="00000000">
              <w:rPr>
                <w:b w:val="1"/>
                <w:vertAlign w:val="superscript"/>
                <w:rtl w:val="0"/>
              </w:rPr>
              <w:t xml:space="preserve">1</w:t>
            </w:r>
            <w:r w:rsidR="00000000" w:rsidRPr="00000000" w:rsidDel="00000000">
              <w:rPr>
                <w:b w:val="1"/>
                <w:rtl w:val="0"/>
              </w:rPr>
              <w:t xml:space="preserve"> Pārvaldnieka kompetence būvniecības ierosināšanā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Pārvaldnieks ir tiesīgs: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pasūtīt ēkas energosertifikāciju, kā arī būves tehnisko apsekošanu;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savā vārdā ierosināt būvniecību, lai nodrošinātu dzīvojamās mājas uzturēšanu vai tās atbilstību energoefektivitātes minimālajām prasībām,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dzīvojamai mājai veiktie izdevumi atzīstami par nepieciešamajiem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būvdarbu nepieciešamība izriet no būves tehniskās apsekošanas atzinumā norādītajiem ieteikumiem vai arī ēkas energoefektivitātes klase neatbilst ēku energoefektivitātes minimālajam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par būvniecības ierosināšanu pārvaldnieks Dzīvokļa īpašuma likuma noteiktajā kārtībā ir sasaucis kopsapulci un kopsapulce nav bijusi lemttiesīga, kā arī sasaucis Dzīvokļa īpašuma likuma 19.</w:t>
            </w:r>
            <w:r w:rsidR="00000000" w:rsidRPr="00000000" w:rsidDel="00000000">
              <w:rPr>
                <w:vertAlign w:val="superscript"/>
                <w:rtl w:val="0"/>
              </w:rPr>
              <w:t xml:space="preserve">1</w:t>
            </w:r>
            <w:r w:rsidR="00000000" w:rsidRPr="00000000" w:rsidDel="00000000">
              <w:rPr>
                <w:rtl w:val="0"/>
              </w:rPr>
              <w:t xml:space="preserve"> pantā norādīto atkārtotu kopsapulci  un atkārtotā kopsapulce nav bijusi lemttiesīga;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par šā panta pirmajā daļā minētajiem jautājumiem kopsapulci un atkārtotu kopsapulci sasauc tikai izmantojot Būvniecības informācijas sistēmas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Izdevumus, kuri pārvaldniekam radušies, rīkojoties saskaņā ar šā panta pirmo daļu, dzīvojamās mājas īpašnieks atlīdzina pārvaldniekam atbilstoši tā noteiktajam maksājumu grafikam. Izdevumos ietilpst arī atlīdzība kreditoram par pārvaldnieka piesaistītajiem finanšu līdzekļiem, kas nedrīkst pārsniegt iepriekšējā ceturkšņa vidējo svērto aizdevuma procentu tirgus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dzīvokļa īpašnieks vai kopīpašnieks, ievērojot viņa mantisko stāvokli, nevar atlīdzināt izdevumus atbilstoši šā panta trešajai daļai vai arī tas būtu pārmērīgi apgrūtinoši, viņš var prasīt pārvaldniekam pagarināt izdevumu atmaksas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Panta pirmās daļas 2. punkta a) apakšpunktu formulēt tā, lai būtu skaidrs, ka domāti vēl tikai veicamie, nevis “veiktie”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panta pirmās daļas 2. punkta d) apakšpunkta formulējumu, norādot, ka prasība kopsapulces sasaukt BIS attiecas uz pārvaldnieku. Lai arī tas izsecināms no panta nosaukuma, formulējums “par minētajiem jautājumiem” var tikt tulkots kā speciāla kārtība dzīvokļa īpašuma īpašnieku kopsapulces sasaukšanai arī gadījumos, kad to ierosina kāds no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Panta pirmās daļas 2. punkta d) apakšpunkts nosaka procedūru un nav priekšnoteikums pārvaldnieka tiesībām ierosināt būvniecību (kādi ir apakšpunkti a) līdz c)) – būtu numurējams kā panta pirmās daļas 3. punkts vai panta otrā daļa, attiecīgi mainot sekojošo daļu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06.12.2024.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06.12.2024.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Atzinumi_24-TA-2021.docx</dc:title>
</cp:coreProperties>
</file>

<file path=docProps/custom.xml><?xml version="1.0" encoding="utf-8"?>
<Properties xmlns="http://schemas.openxmlformats.org/officeDocument/2006/custom-properties" xmlns:vt="http://schemas.openxmlformats.org/officeDocument/2006/docPropsVTypes"/>
</file>