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plānā minēto pasākumu (1.) 12. Ārlietu ministrija dara zināmu, ka plānotais pasākums nav Ārlietu ministrijas kompetencē. Lūdzam dzēst atsauci uz Ārlietu ministriju kā atbildīgo iestādi, kā arī neiekļaut Ārlietu ministriju par līdzatbildīgo iestādi. Lūdzam norādīt par atbildīgo vai līdzatbildīgo iestādi Tieslietu ministriju, kuras kompetencē ir valsts pārstāvība Eiropas Savienības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 Balode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