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rīcību ar valsts un kapitālsabiedrības nekustamajiem īpašumiem, kas atzīti par valsts nozīmes kultūras pieminekļiem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05.08.2024.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05.08.2024.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