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rādītāji – līdz 2028.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pagarinot projekta nacionālo iznākuma rādītāju sasniegšanas termiņu līdz 2028. gada 31. decembrim, noteiktais jaunais termiņš būs atbilstošs Eiropas Savienības struktūrfondu un Kohēzijas fonda 2014.–2020. gada plānošanas perioda darbības programmai “Izaugsme un nodarbinātība” un Eiropas Savienības 2014.–2020. gada plānošanas perioda fondu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22.12.2022.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22.12.2022.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Atzinumi_22-TA-3694.docx</dc:title>
</cp:coreProperties>
</file>

<file path=docProps/custom.xml><?xml version="1.0" encoding="utf-8"?>
<Properties xmlns="http://schemas.openxmlformats.org/officeDocument/2006/custom-properties" xmlns:vt="http://schemas.openxmlformats.org/officeDocument/2006/docPropsVTypes"/>
</file>