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Programmas "Iespējkapitāla ieguldījumi"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Publisko iepirkumu likumu.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ņemts vērā Finanšu ministrijas atzinumā ietvertais IUB priekšlikums "Paredzēts ALTUM fondu pārvaldnieku izvēlē piemērot konkrēti Publisko iepirkumu likumu. IUB ierosina izvērtēt iespēju noteikt, ka piemēro publisko iepirkumu regulējumu, atstājot iespēju piemērot citu publiskā iepirkuma regulējumu, piemēram, Publiskās un privātās partnerības likumu.", lūdzam skaidrot anotācijā, vai un kā, piemēram, Publiskās un privātās partnerības likuma piemērošanas gadījumā tiks nodrošinātas Komisijas regulas Nr. 651/2014 21. panta 14. punktā minētās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Mičule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starpniekus atlasa atklātā, pārredzamā un nediskriminējošā atlases procedūrā, ievērojot Komisijas regulas Nr. 651/2014 21. panta 14. punktā iekļautos nosacījumus un piemērojot Publisko iepirkumu likumu.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ALTUM fondu pārvaldnieku izvēlē piemērot konkrēti Publisko iepirkumu likumu. IUB ierosina izvērtēt iespēju noteikt, ka piemēro publisko iepirkumu regulējumu, atstājot iespēju piemērot citu publiskā iepirkuma regulējumu, piemēram, Publiskās un privātās partnerības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publiskā iepirkuma regulējuma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Skangale (IUB)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Kopējais privāto ieguldītāju līdzfinansējuma apmērs pirmssēklas un sēklas naudas atbalstam gala saņēmēju līmenī atbilst Komisijas regulas Nr. 651/2014 21. panta 12. punktā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punkts ir pretrunā ar Komisijas regulas Nr. 651/2014 21. panta 12. punktā iekļauto iespēju piesaistīt līdzfinansējumu arī starpnieku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privāto ieguldītāju līdzfinansējuma apmērs pirmssēklas un sēklas naudas atbalstam gala saņēmēju vai starpnieku līmenī atbilst Komisijas regulas Nr. 651/2014 21. panta 12. punktā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Kopējais privāto ieguldītāju līdzfinansējuma apmērs sākuma un izaugsmes stadijas iespējkapitāla fondu sniegtajos atbalstos gala saņēmēju līmenī atbilst Komisijas regulas Nr. 651/2014 21. panta 12. punktā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punkts ir pretrunā ar Komisijas regulas Nr. 651/2014 21. panta 12. punktā iekļauto iespēju piesaistīt līdzfinansējumu arī starpnieku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privāto ieguldītāju līdzfinansējuma apmērs sākuma un izaugsmes stadijas iespējkapitāla fondu sniegtajos atbalstos gala saņēmēju vai starpnieku līmenī atbilst Komisijas regulas Nr. 651/2014 21. panta 12. punktā noteiktajiem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Lpp. norādīts, ka informācija par atlasi tiks publicēta Altum tīmekļvietnē.  Vēršam uzmanību, ka, piemērojot publisko iepirkumu regulējumu, ir jānodrošina arī konkrētajā regulējumā paredzētās publikācijas Publikāciju vadības sistēmā un Elektronisko iepirkumu sistēmas e-konkursu apakšsistēmā.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Birkenfelde (FM) (Iveta Cirse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punkta sadaļā "Fondi" norādīts, ka informācija par fondu pārvaldnieku atlasi tiks publicēta Altum tīmekļvietnē. IUB vērš uzmanību un izsaka priekšlikumu, ka lietderīgi būtu norādīt, ka ir jānodrošina arī konkrētajā publiskā iepirkuma regulējumā paredzētās publikācijas Publikāciju vadības sistēmā un Elektronisko iepirkumu sistēmas e-konkursu apakšsistēmā.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"Jānodrošina fondu pārvaldnieku atlasei piemērotajā publiskā iepirkuma rēgulējumā paredzētās publikācijas Publikāciju vadības sistēmā un Elektronisko iepirkumu sistēmas e-konkursu apakšsistēmā."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Skangale (IUB)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ALTUM fondu pārvaldnieku izvēlē piemērot konkrēti Publisko iepirkumu likumu. IUB ierosina izvērtēt iespēju noteikt, ka piemēro publisko iepirkumu regulējumu, atstājot iespēju piemērot citu publiskā iepirkuma regulējumu, piemēram, Publiskās un privātās partnerības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publiskā iepirkuma regulējuma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Skangale (IUB)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norādīto informāciju par līgumos ar atlasītajiem finanšu starpniekiem iekļaujamo nosacījumu par Regulas Nr. 2018/1046 61. panta prasību nodrošināšanu un izteikt to šādā redakcijā:</w:t>
            </w:r>
            <w:r w:rsidR="00000000" w:rsidRPr="00000000" w:rsidDel="00000000">
              <w:rPr>
                <w:i w:val="1"/>
                <w:rtl w:val="0"/>
              </w:rPr>
              <w:t xml:space="preserve"> "- ar atlasītajiem finanšu starpniekiem tiek slēgti komandītsabiedrības līgumi par fondu pārvaldību, kas tiks slēgti kā konstitutīvi līgumi, ar ko tiks dibinātas personu apvienības, kas pārvaldīs šo noteikumu ietvaros izveidotos Iespējkapitāla fondus, tai skaitā līgumos iekļaujot nosacījumu, ka finanšu starpnieki:</w:t>
            </w:r>
            <w:r w:rsidR="00000000" w:rsidRPr="00000000" w:rsidDel="00000000">
              <w:rPr>
                <w:i w:val="1"/>
                <w:rtl w:val="0"/>
              </w:rPr>
              <w:t xml:space="preserve">1. ir izstrādājuši iekšējās kontroles sistēmu korupcijas un interešu konflikta riska novēršanai, kas ietver arī:</w:t>
            </w:r>
            <w:r w:rsidR="00000000" w:rsidRPr="00000000" w:rsidDel="00000000">
              <w:rPr>
                <w:i w:val="1"/>
                <w:rtl w:val="0"/>
              </w:rPr>
              <w:t xml:space="preserve">1.1. pasākumus interešu konflikta riska kontrolei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Finanšu regula) 61. pantu;</w:t>
            </w:r>
            <w:r w:rsidR="00000000" w:rsidRPr="00000000" w:rsidDel="00000000">
              <w:rPr>
                <w:i w:val="1"/>
                <w:rtl w:val="0"/>
              </w:rPr>
              <w:t xml:space="preserve">1.2.  krāpšanas un korupcijas risku novēršanas mehānismus;</w:t>
            </w:r>
            <w:r w:rsidR="00000000" w:rsidRPr="00000000" w:rsidDel="00000000">
              <w:rPr>
                <w:i w:val="1"/>
                <w:rtl w:val="0"/>
              </w:rPr>
              <w:t xml:space="preserve">1.3.  iekšējās informācijas aprites un komunikācijas pasākumus par interešu konflikta, krāpšanas un korupcijas riska novēršanu;</w:t>
            </w:r>
            <w:r w:rsidR="00000000" w:rsidRPr="00000000" w:rsidDel="00000000">
              <w:rPr>
                <w:i w:val="1"/>
                <w:rtl w:val="0"/>
              </w:rPr>
              <w:t xml:space="preserve">1.4.  ētikas kodeksu;</w:t>
            </w:r>
            <w:r w:rsidR="00000000" w:rsidRPr="00000000" w:rsidDel="00000000">
              <w:rPr>
                <w:i w:val="1"/>
                <w:rtl w:val="0"/>
              </w:rPr>
              <w:t xml:space="preserve">1.5.  kārtību, kā darbiniekiem ir jārīkojas gadījumā, ja tie vēlas ziņot par iespējamiem pārkāpumiem (tai skaitā iespējamām koruptīvām darbībām), ietverot pasākumus, lai nodrošinātu ziņotāja anonimitāti un aizsardzību;</w:t>
            </w:r>
            <w:r w:rsidR="00000000" w:rsidRPr="00000000" w:rsidDel="00000000">
              <w:rPr>
                <w:i w:val="1"/>
                <w:rtl w:val="0"/>
              </w:rPr>
              <w:t xml:space="preserve">2. noteikuši pasākumus aizliegto vienošanos riska kontrolei;</w:t>
            </w:r>
            <w:r w:rsidR="00000000" w:rsidRPr="00000000" w:rsidDel="00000000">
              <w:rPr>
                <w:i w:val="1"/>
                <w:rtl w:val="0"/>
              </w:rPr>
              <w:t xml:space="preserve">3. izstrādājuši dubultā finansējuma novēršanas mehānismu;</w:t>
            </w:r>
            <w:r w:rsidR="00000000" w:rsidRPr="00000000" w:rsidDel="00000000">
              <w:rPr>
                <w:i w:val="1"/>
                <w:rtl w:val="0"/>
              </w:rPr>
              <w:t xml:space="preserve">4. izstrādājuši ziņošanas mehānismu kompetentajām iestādēm par potenciālu administratīvu vai kriminālatbildību;"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"Programmas "Iespējkapitāla ieguldījumi", tostarp Eiropas Savienības kohēzijas politikas programmas 2021.-2027.gadam 1.2.3. specifiskā atbalsta mērķa " Veicināt ilgtspējīgu izaugsmi, konkurētspēju un darba vietu radīšanu MVU, tostarp ar produktīvām investīcijām " 1.2.3.2. pasākuma "Iespējkapitāla ieguldījumi"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projektu, norādot korektu noteikumu projekta nosaukumu, proti, "Programmas "Iespējkapitāla ieguldījumi"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22-TA-2520</w:t>
    </w:r>
    <w:r>
      <w:br/>
    </w:r>
    <w:r w:rsidR="00000000" w:rsidRPr="00000000" w:rsidDel="00000000">
      <w:rPr>
        <w:rtl w:val="0"/>
      </w:rPr>
      <w:t xml:space="preserve">Izdrukāts 10.08.2023.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22-TA-2520</w:t>
    </w:r>
    <w:r>
      <w:br/>
    </w:r>
    <w:r w:rsidR="00000000" w:rsidRPr="00000000" w:rsidDel="00000000">
      <w:rPr>
        <w:rtl w:val="0"/>
      </w:rPr>
      <w:t xml:space="preserve">Izdrukāts 10.08.2023.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Atzinumi_22-TA-2520.docx</dc:title>
</cp:coreProperties>
</file>

<file path=docProps/custom.xml><?xml version="1.0" encoding="utf-8"?>
<Properties xmlns="http://schemas.openxmlformats.org/officeDocument/2006/custom-properties" xmlns:vt="http://schemas.openxmlformats.org/officeDocument/2006/docPropsVTypes"/>
</file>