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pirmās kārtas „Noziedzīgi iegūtu līdzekļu legalizācijas novēršanas grants”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anotācijā iekļauto tabulu par 5.2.1.1. investīcijas rādītājiem, precizējot uzraudzības rādītāja redakciju atbilstoši Atveseļošanas fonda plāna Darbības kārtībai - "Parakstīti iekšējie pētniecības un izstrādes grantu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14.12.2022.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14.12.2022.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Atzinumi_22-TA-1467.docx</dc:title>
</cp:coreProperties>
</file>

<file path=docProps/custom.xml><?xml version="1.0" encoding="utf-8"?>
<Properties xmlns="http://schemas.openxmlformats.org/officeDocument/2006/custom-properties" xmlns:vt="http://schemas.openxmlformats.org/officeDocument/2006/docPropsVTypes"/>
</file>