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Ainavu politikas ieviešanas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09.01.2024.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09.01.2024.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