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ar termiņiem, aicinām izvērtēt punkta papildināšanu, norādot, no kura brīža tiek skaitīts viena mēneša vai četru mēnešu termiņš, kura laikā Ekonomikas ministrijai jāpieņem lēmums par teritorijas noteikšanu par kūrortu.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punktam</w:t>
            </w:r>
            <w:r w:rsidR="00000000" w:rsidRPr="00000000" w:rsidDel="00000000">
              <w:rPr>
                <w:rtl w:val="0"/>
              </w:rPr>
              <w:t xml:space="preserve"> teritorijai noteikts kūrorta statuss, pašvaldība nodrošina, ka tās tīmekļvietnē ir publiski pieejama informācija, kas pamato teritorijas atbilstību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norādot termiņu, kādā laikā/kad pašvaldībai jānodrošina, ka tās tīmekļvietnē ir publiski pieejama informācija, kas pamato teritorijas atbilstību kūrorta statusam. Tāpat aicinām konkrēti norādīt, kāda informācija ir ievietojama pašvaldības tīmekļvietnē, jo no projekta redakcijas "informācija, kas pamato teritorijas atbilstību minētajiem nosacījumiem" nav viennozīmīgi saprotams publicējamās informācijas apjoms, kaut arī tas ir skaidrots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par to informējot Ekonomikas ministriju,  Veselības ministriju, Viedās administrācijas un reģionālās attīstības ministriju un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punkta precizēšanu, nosakot konkrētāku termiņu, kad pašvaldībai jāaktualizē informācija, jo "ne retāk kā reizi četros gados" ir plašs laika posms. Tas teorētiski paver iespēju, ka informācija tiek publicēta tuvu četru gadu termiņa beigām un rada risku, ka kūrorta statuss ir pēc četru gadu termiņa (kamēr ministrijas pārbauda atbilstību) arī gadījumos, ja pašvaldībai jāprecizē informācija vai teritorija neatbilst kūrorta statusam.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Veselības ministrija, Viedās administrācijas un reģionālās attīstības ministrija un Klimata un enerģētikas ministrija ne retāk kā reizi četros gados pārskata teritorijas atbilstību kūrorta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sasaistot to ar noteikumu projekta 8.punktu, jo ministrijas pārskata teritorijas atbilstību kūrorta statusam pēc informācijas saņemšanas no pašvaldības saskaņā ar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21.07.2026.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21.07.2026.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