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(grozījumu) projekts paredz papildināt 50. pantu ar ceturto daļu, no kuras izsecināma personas datu apstrāde. Ievērojot minēto un anotācijas 8.1.13. apakšpunktā norādīto, ka tiesiskais pamats datu apstrādei ir 6. panta 1. punkta (e) apakšpunkts,  atbilstoši Vispārīgās datu aizsardzības regulas (turpmāk - Datu regula) 5. panta 1. punkta (e) apakšpunktā minētajam glabāšanas ierobežojuma principam, lūdzam anotāciju papildināt ar informāciju par glabāšanas termiņu  - notikumu/nosacījumu, kad attiecīgi personas dati tiks dzēsti.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Dmitrijeva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26.01.2024.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26.01.2024.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