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4.1.2.1. pasākuma "Nacionāla mēroga veselības veicināšanas un slimību profilakses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izmaksas ir attiecināmas, ja tās atbilst šajos noteikumos minētajām izmaksu pozīcijām un tās ir radušās ne agrāk kā par 2021. gada 1. decembri.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projektu izmaksas ir attiecināmas no 2021. gada 1. decembra. Vēršam uzmanību, ka projekta Nr. 9.2.4.1/16/I/001 “Kompleksi veselības veicināšanas un slimību profilakses pasākumi” beigu termiņš ir 2023.gada 31.decemris, un īstenojot paralēli divus līdzīgus projektus palielinās dubultā finansējuma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VM uzskata, ka ir jāatstāj izmaksu attiecināmības termiņš no 2021.gada 1.decembra, tad lūdzam papildināt noteikumu projekta 14. punktu ar informāciju, ka nedrīkst attiecināt izmaksas jau pabeigtām darbībām, vai noteikt, ka izmaksas ir attiecināmas no līguma/vienošanās noslēgšanas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Prasības projekta iesniedzējiem un projekta 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finansējuma saņēmējs izstrādā kārtību, kā tas pārliecinās par interešu konflikta (ievērojot Regulas 2018/1046 61. pantā noteikto),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papildināt noteikumu projektu, ka finansējuma saņēmējs un sadarbības partneris paraksta interešu konflikta neesamības apliecinājumu (Apliecinājumā obligāti ietver atsauci uz Regulas 2018/1046 61.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pasākuma ietvaros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salīdzinot ar šobrīd ES fondu mājas lapā publicēto dokumentu “SAM rādītāju metodoloģijas apraksts”, SAMP ietvaros tiek plānots papildu finansējuma saņēmējs (muzejs) un MK noteikumu projekta 16.punktā uzskaitīts lielāks sadarbības partneru skaits, lūdzam skaidrot iznākuma rādītāja metodoloģiju - ko plānots iekļaut iznākuma rādītājā un vai iznākuma rādītājs nebūtu jāpalielina, nepieciešamības gadījumā attiecīgi papildinot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Finansējuma saņēmējs atbilstoši normatīvajiem aktiem par kārtību, kādā ES fondu vadībā iesaistītās institūcijas nodrošina šo fondu ieviešanu 2021. – 2027. gada plānošanas periodā slēdz sadarbības līgumus ar sadarbības partneriem, kontrolē to izpildi un novērš dubultā finansējuma riskus.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tiek slēgts sadarbības līgums, MK noteikumos ir jāatrunā tā galvenie aspekti (atbildība, funkcijas utt.) Izpildot iepriekš minēto, MK noteikumos nedublē vadības MK noteikumu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ietvaros ir atbalstāmi veselības veicināšanas un slimību profilakses pasākumi, ievērojot šādas sabiedrības veselības prioritārās jomas, kas novērstu priekšlaicīgu mirstību, darba nespēju, veicinātu dzīves kvalitāti un uzlabotu iedzīvotāju veselībpratību Latvijas iedzīvotājiem visos vecuma posmos un dažādām mērķa grupām atkarībā no veselības veicināšanas un slimību profilakses jomas: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atbilstoši anotācijā sniegtajam skaidrojumam, ka visi minētie pasākumi/aktivitātes tiks īstenotas </w:t>
            </w:r>
            <w:r w:rsidR="00000000" w:rsidRPr="00000000" w:rsidDel="00000000">
              <w:rPr>
                <w:b w:val="1"/>
                <w:rtl w:val="0"/>
              </w:rPr>
              <w:t xml:space="preserve">četru prioritāro jomu</w:t>
            </w:r>
            <w:r w:rsidR="00000000" w:rsidRPr="00000000" w:rsidDel="00000000">
              <w:rPr>
                <w:rtl w:val="0"/>
              </w:rPr>
              <w:t xml:space="preserve"> (sirds un asinsvadu slimības, onkoloģiskās slimības, bērnu veselība un psihiskā veselība) un</w:t>
            </w:r>
            <w:r w:rsidR="00000000" w:rsidRPr="00000000" w:rsidDel="00000000">
              <w:rPr>
                <w:b w:val="1"/>
                <w:rtl w:val="0"/>
              </w:rPr>
              <w:t xml:space="preserve"> sešu rīcības apakšjomu</w:t>
            </w:r>
            <w:r w:rsidR="00000000" w:rsidRPr="00000000" w:rsidDel="00000000">
              <w:rPr>
                <w:rtl w:val="0"/>
              </w:rPr>
              <w:t xml:space="preserve"> - veselīgs uzturs, fiziskā aktivitāte, atkarību izraisošo vielu un procesu izplatības mazināšana, psihiskā veselība, seksuālā un reproduktīvā veselība, slimību profilakse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veselības veicināšana un slimību profilakses uzlabošana;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jo, iekļaujot šādu punktu, jēgu zaudē visi pārējie apakšpunkti, jo šis punkts iekļauj pilnīgi visas iespējamās jomas, tēmas un apakšjomas. Gadījumā, ja nav plānots noteikt atbalstāmās jomas, lūdzam precizēt 23.punkta definējumu. Atbilstoši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Pasākuma ietvaros ir atbalstāmas šādas atbalstāmās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Pasākuma ietvaros ir atbalstāmas šādas atbalstāmās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norādot, kuras darbības ir attiecināmas uz MK noteikumu 15.1.apakšpunktā noteikto projekta iesniedzēju un tā sadarbības partneriem un kuras uz MK noteikumu 15.2.apkšpunktā noteikto projekta iesniedzēju.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nacionāla un vietēja mēroga slimību profilakses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SAMP 4.1.2.1. projekta (-u) ietvaros plānots nodrošināt nacionāla mēroga pasākumus, kā arī, lai novērstu pārklāšanos ar SAMP 4.1.2.2., lūdzam dzēst vārdus “un vietēja”. Atbilstoši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nacionāla un vietēja mēroga veselības veicināšanas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SAMP 4.1.2.1. projekta (-u) ietvaros plānots nodrošināt nacionāla mēroga pasākumus, kā arī, lai novērstu pārklāšanos ar SAMP 4.1.2.2., lūdzam dzēst vārdus “un vietēja”. Atbilstoši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 muzeja izveide;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kādu muzeju plānots izveidot un sniegt tā nepieciešamības pamatojumu, t.sk. par atbilstību Eiropas Savienības kohēzijas politikas programmā 2021.–2027.gadam paredzētajām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 krājuma priekšmetu apstrāde un digitalizācija;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aprakstīt, kā muzeja krājuma priekšmetu apstrāde un digitalizācija veicinās MK noteikumu projekta 23.punktā plānoto mērķu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ekspozīcijas izveide;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plānots veidot muzeja ekspozīciju un muzeja apmeklējums ir par maksu, lūdzam anotācijā skaidrot, kā plānots nodrošināt un uzraudzīt, ka projektā netiek gūti NETO ieņēmumi.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bērnu muzeja klases izveide;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kādas izmaksas ietver noteikumu projekta 29.7.apakšpunktā minētā bērnu muzeja klases izveide.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29.9. muzeja komunikācijas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kādus muzeja komunikācijas pasākumus plānots segt no projekta izmaksām, ņemot vērā, ka komunikācija ir arī muzeja pamatdarbības, t.sk. saimnieciskās darbības sastāvdaļa.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30.</w:t>
            </w:r>
            <w:r w:rsidR="00000000" w:rsidRPr="00000000" w:rsidDel="00000000">
              <w:rPr>
                <w:rtl w:val="0"/>
              </w:rPr>
              <w:t xml:space="preserve"> punktā minētās izmaksas veido projekta tiešās attiecināmās izmaksas,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kuras no MK noteikumos noteiktajām attiecināmajām izmaksām ir attiecināmas uz MK noteikumu 15.1.apakšpunktā noteikto projekta iesniedzēju un tā sadarbības partneriem un kuras ir attiecināmas uz MK noteikumu 15.2.apakšpunktā noteikto projekta iesniedzēju.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w:t>
            </w:r>
            <w:r w:rsidR="00000000" w:rsidRPr="00000000" w:rsidDel="00000000">
              <w:rPr>
                <w:rtl w:val="0"/>
              </w:rPr>
              <w:t xml:space="preserve">25.</w:t>
            </w:r>
            <w:r w:rsidR="00000000" w:rsidRPr="00000000" w:rsidDel="00000000">
              <w:rPr>
                <w:rtl w:val="0"/>
              </w:rPr>
              <w:t xml:space="preserve"> punktā minēto atbalstāmo darbību īstenošanai ir attiecināmas projekta netiešās attiecināmās izmaksas, ko projekta iesniegumā plāno kā vienu izmaksu pozīciju, piemērojot netiešo izmaksu vienoto likmi 15 procentu apmērā no šo noteikumu </w:t>
            </w:r>
            <w:r w:rsidR="00000000" w:rsidRPr="00000000" w:rsidDel="00000000">
              <w:rPr>
                <w:rtl w:val="0"/>
              </w:rPr>
              <w:t xml:space="preserve">25.</w:t>
            </w:r>
            <w:r w:rsidR="00000000" w:rsidRPr="00000000" w:rsidDel="00000000">
              <w:rPr>
                <w:rtl w:val="0"/>
              </w:rPr>
              <w:t xml:space="preserve"> punktā minētajām projekta tiešajām personāla atlīdzības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noteikumu 24. punktā minēto atbalstāmo darbību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24. punktā minēto atbalstāmo darbību īstenošanai ir attiecināmas projekta netiešās attiecināmās izmaksas, ko projekta iesniegumā plāno kā vienu izmaksu pozīciju, piemērojot netiešo izmaksu vienoto likmi 15 procentu apmērā no šo noteikumu 25. punktā minētajām projekta tiešajām personāla atlīdzības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Pievienotās vērtības nodokļa maksājumi, kas tiešā veidā saistīti ar projektu, ir attiecināmās izmaksas, ja finansējuma saņēmējs tos nevar atgūt normatīvajos aktos par pievienotās vērtības nodokli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ievietot vārdus “un sadarbības partneris” aiz vārdiem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Pasākuma projekta īstenošanas un finansējuma saņemšanas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finansējuma saņēmējs un sadarbības partneri nodrošina komunikācijas un vizuālās identitātes nosacījumu ievērošanu atbilstoši Regulas 2021/1060 47. pantam un 50. pantam un normatīvajiem aktiem, kas nosaka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 par projekta dalībniekiem, kuri uzskaitāmi atbilstoši Eiropas Parlamenta un Padomes 2021. gada 24. jūnija Regulas (ES) Nr. 2021/1057, ar ko izveido Eiropas Sociālo fondu Plus (ESF+) un atceļ Regulu (ES) Nr. 1296/2013 I pielikumam un normatīvo aktu par Eiropas Savienības fondu projektu pārbaužu veikšanas kārtība 2021.–2027. gada plānošanas periodā 1. pielikumam, ja persona piedalās veselības veicināšanas vai slimību profilakses pasākumā un pasākums ilgst vairāk nekā astoņas stundas.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noteikumu projekta 36.2. apakšpunktā noteikto ierobežojumu Regulas (ES) Nr. 2021/1057 1.pielikumā uzkrājamajiem datiem, t.i. kāpēc finansējuma saņēmējs datus, par dalībniekiem, uzkrāj pasākumos, kuri ilgst vairāk nekā astoņas stundas.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Šo noteikumu </w:t>
            </w:r>
            <w:r w:rsidR="00000000" w:rsidRPr="00000000" w:rsidDel="00000000">
              <w:rPr>
                <w:rtl w:val="0"/>
              </w:rPr>
              <w:t xml:space="preserve">15.2.</w:t>
            </w:r>
            <w:r w:rsidR="00000000" w:rsidRPr="00000000" w:rsidDel="00000000">
              <w:rPr>
                <w:rtl w:val="0"/>
              </w:rPr>
              <w:t xml:space="preserve"> apakšpunktā minētajam finansējuma saņēmējam jāpierāda valsts atbalsta komercdarbībai saskaņā Eiropas Komisijas 2014. gada 17. jūnija Regulas (ES) Nr. 651/2014, ar ko noteiktas atbalsta kategorijas atzīst par saderīgām ar iekšējo tirgu, piemērojot Līguma 107. un 108. pantu (turpmāk – Komisijas regula Nr. 651/2014), 53. pantu neesamību atbilstoši  saimnieciskās darbības kritērijam - ja projekts nav saistīts ar saimnieciskās darbības veikšanu jeb izveidotās infrastruktūras amortizācijas periodā (projekta dzīves cikla laikā) ieņēmumi no saimnieciskās darbības atbalstītajā objektā ir mazāki par 50 procentiem no kultūras jomas pakalpojumu sniedzēja gada budžeta atbalstītajā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infrastruktūras izveidi. Lūdzam skaidrot, kas šī punkta kontekstā tiek saprasts ar infrastruktūras amortizācijas periodu un projekta dzīves ciklu.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Šo noteikumu </w:t>
            </w:r>
            <w:r w:rsidR="00000000" w:rsidRPr="00000000" w:rsidDel="00000000">
              <w:rPr>
                <w:rtl w:val="0"/>
              </w:rPr>
              <w:t xml:space="preserve">15.2.</w:t>
            </w:r>
            <w:r w:rsidR="00000000" w:rsidRPr="00000000" w:rsidDel="00000000">
              <w:rPr>
                <w:rtl w:val="0"/>
              </w:rPr>
              <w:t xml:space="preserve"> apakšpunktā minētajam finansējuma saņēmējam jāpierāda valsts atbalsta komercdarbībai saskaņā Eiropas Komisijas 2014. gada 17. jūnija Regulas (ES) Nr. 651/2014, ar ko noteiktas atbalsta kategorijas atzīst par saderīgām ar iekšējo tirgu, piemērojot Līguma 107. un 108. pantu (turpmāk – Komisijas regula Nr. 651/2014), 53. pantu neesamību atbilstoši  saimnieciskās darbības kritērijam - ja projekts nav saistīts ar saimnieciskās darbības veikšanu jeb izveidotās infrastruktūras amortizācijas periodā (projekta dzīves cikla laikā) ieņēmumi no saimnieciskās darbības atbalstītajā objektā ir mazāki par 50 procentiem no kultūras jomas pakalpojumu sniedzēja gada budžeta atbalstītajā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40. punktu, jo nav skaidrs, kāpēc ir jāpierāda Komisijas regulas Nr. 651/2014 53. panta neesamību, ja pēc būtības nosacījumam, lai publiskā finansējuma piešķiršana Paula Stradiņa Medicīnas vēstures muzejam šī pasākuma ietvaros nekvalificētos kā komercdarbības atbalsts, tam vai nu jāatbilst prasībai, ka projekts nav saistīts ar saimnieciskās darbības veikšanu, piemēram, izveidotās infrastruktūras amortizācijas periodā (projekta dzīves cikla laikā) ieņēmumi no saimnieciskās darbības atbalstītajā objektā ir mazāki par 50 procentiem no kultūras jomas pakalpojumu sniedzēja gada budžeta atbalstītajā objektā, vai nu, ja iepriekš minētais nosacījums neizpildās, tad jāpārbauda, vai atbalsts Paula Stradiņa Medicīnas vēstures muzejam nekvalificējas kā komercdarbības atbalsts, jo neizpildās Komercdarbības atbalsta kontroles likuma 5. panta 4. punktā minētā pazīme, jo,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procenti un vairāk no visiem kultūras jomā sniegto pakalpojumu saņēmējiem/apmeklētājiem atbalstītajā objektā gadā ir Latvijas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objekts netiek plaši reklamēts ārpus Latvijas teritorijas (netiek veiktas starptautiskas mārketinga aktivitātes u.c. darbības pārrobežu reklāmas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gadījumā, ja noteikumu projekta ietvaros ir plānots noteikt iespēju iepriekš minēto 2 gadījumu neizpildes gadījumā, piešķirt komercdarbības atbalstu saskaņā ar Komisijas regulas Nr. 651/2014 53. pantu, lūdzam papildināt noteikumu projektu ar visām prasībām, kas izriet no Komisijas regulas Nr. 651/2014 I sadaļas un regulas 53. panta. Turklāt šādā gadījumā būtu jāveic grozījumi pasākuma projekta vērtēšanas kritērijos, papildinot ar jaunu specifisko atbilstības kritēriju, kas paredzētu noteikumu projektā noteikto komercdarbības atbalsta piešķiršanas nosacījumu pārbaudi. Lūdzam attiecīgi precizēt noteikumu projekta anotācijā sniegto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lietot korektu terminu lietošanu, aizstājot vārdus “valsts atbalsta komercdarbībai” ar vārdiem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Ja ir pārkāptas Komisijas regulas Nr. 651/2014 prasības vai ir konstatēts, ka ar saimniecisko darbību nesaistīts projekts tā ieviešanas gaitā vai projekta pārskata periodā (projekta dzīves cikla laikā) kļūst par projektu, kas saistīts ar saimniecisku darbību, un tam nav iespējams piemērot Komisijas regulas Nr. 651/2014 53. panta nosacījumus, atbalsta saņēmējam ir pienākums atmaksāt sadarbības iestādei saņemto nelikumīgo komercdarbības atbalstu no līdzekļiem, kas nav saistīti ar valsts atbalstu, atbilstoši Komercdarbības atbalsta kontroles likuma IV un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secināms, ka tā ietvaros nav paredzēta komercdarbības atbalsta piešķiršana saskaņā ar Komisijas regulu Nr. 651/2014, lūdzam precizēt noteikumu projekta 42. punktu, piemēram, dzēšot vārdus “ir pārkāptas Komisijas regulas Nr. 651/2014 prasības vai” un vārdus “un tam nav iespējams piemērot Komisijas regulas Nr. 651/2014 53. panta nosacījumus”. Gadījumā, ja tomēr noteikumu projekta ietvaros ir plānota komercdarbības atbalsta piešķiršana, piemēram, saskaņā ar Komisijas regulas Nr. 651/2014 53. pantu, precizējumi noteikumu projekta 42. punktā nav jāveic, kā arī noteikumu projektu ir jāpapildina ar nosacījumiem, kas izriet no Komisijas regulas Nr. 651/2014 I nodaļas un 53.panta.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4.1.2.1. pasākuma "Nacionāla mēroga veselības veicināšanas un slimību profilakses pasākumi" plānoto ietekmi uz tautsaimniecību.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sadaļā “Pašreizējā situācija, problēmas un risinājumi” pie iznākuma rādītāja, ka Eiropas Savienības Kohēzijas politikas programmas 2021. – 2027. gadam (turpmāk – Programma) rādītājs tiks uzskatīts par sasniegtu, kad tiks noslēgts līgums vai vienošanās par projekta īstenošanu, kā arī precizēt pie rezultāta rādītāja, ka Programmas rādītājs r.4.1.2.a tiks uzskatīts par sasniegtu pēc 4.1.2.1. pasākuma “Nacionāla mēroga veselības veicināšanas un slimību profilakses pasākumi”, 4.1.2.2. pasākuma “Veselības veicināšanas un slimību profilakses pasākumu īstenošana vietējai sabiedrībai”, 4.1.2.3. pasākuma “Pasākumi atkarīgo personu resocializācijai un atgriešanai darba tirgū, kā arī preventīvie pasākumi jauniešiem” un 4.1.2.4. pasākuma “Pierādījumos balstītu narkotiku lietošanas profilakses programmu īstenošana un profilakses kvalitātes standartu ieviešana” pabeigšanas kā tas norādīts 4.1.2.SAM rādītāju metodoloģijas aprakstā.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iznākuma rādītājs ir nacionāla, reģionāla vai vietēja mēroga valsts administrācijas vai sabiedrisko pakalpojumu iestāžu un pakalpojumu skaits, kas saņēmušas atbalstu, līdz 2029. gada 31. decembrim nodrošinot, ka atbalstu būs saņēmušas vismaz 3 iestādes, tostarp uz 2024. gada 31. decembri atbalstu būs saņēmušas vismaz 3 iestādes. Eiropas Savienības Kohēzijas politikas programmas 2021. – 2027. gadam (turpmāk – Programma) rādītājs EECO18, tiks uzskatīts par sasniegtu, kad tiks noslēgts līgums vai vienošanās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mērķa rezultāta rādītājs ir iedzīvotāju skaits, kuri pēdējā gada laikā veselības apsvērumu dēļ ESF+ veselības veicināšanas pasākumu ietekmē ir mainījuši uztura un citus dzīvesveida paradumus,  nodrošinot, ka uz 2029. gada 31.decembri sasniegta rādītāja vērtība 50 000 iedzīvotāji. Programmas rādītājs r.4.1.2.a tiks uzskatīts par sasniegtu pēc 4.1.2.1. pasākuma “Nacionāla mēroga veselības veicināšanas un slimību profilakses pasākumi”, 4.1.2.2. pasākuma “Veselības veicināšanas un slimību profilakses pasākumu īstenošana vietējai sabiedrībai”, 4.1.2.3. pasākuma “Pasākumi atkarīgo personu resocializācijai un atgriešanai darba tirgū, kā arī preventīvie pasākumi jauniešiem” un 4.1.2.4. pasākuma “Pierādījumos balstītu narkotiku lietošanas profilakses programmu īstenošana un profilakses kvalitātes standartu ieviešana”pabeigšanas.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visu obligāti norādāmo informāciju, kas iekļaujama, piemērojot vienoto likmi līdz 20 % personāla atlīdzības izmaksu segšanai. Papildus vēršam uzmanību, ka likmes precīzs apmērs vēl ir saskaņošanas posmā.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teikumu "Plānotie ieguldījumi veicinās Bauhaus mērķu sasniegšanu", ņemot vērā, ka pasākumā nav paredzēti ieguldījumi infrastruktūrā.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atbildi uz anotācijas 8.1.13. punkta "uz datu aizsardzību" jautājumu "Vai projekts skar šo jomu?" precizēt uz “Jā”, ņemot vērā, ka projektu ietvaros ir jāuzkrāj personu dati un jāievēro datu aizsardzība.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anotācijā norādīts, ka 4.1.2.1. pasākuma investīcijām nav ietekmes uz horizontālajiem principiem: “Klimatdrošināšana”; “Energoefektivitāte pirmajā vietā” un “Nenodarīt būtisku kaitējumu”. Lūdzam anotācijas uz sadaļas 8.1.6. "uz vidi" jautājumu "Vai projekts skar šo jomu?" sniegt atbildi “Nē”, kā arī lūdzam svītrot teikumu: “Īstenojot projektu, finansējuma saņēmējs nodrošina, ka projekts izpilda nepieciešamās prasības principa “Nenodarīt būtisku kaitējumu” ievērošanai”.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anotācijas 8.2.sadaļā “Cita informācija” norādīts, ka 4.1.2.1. pasākuma investīcijām nav ietekmes uz horizontālo principu “Nenodarīt būtisku kaitējumu”.).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sadaļu "7.1. Projekta izpildē iesaistītās institūcijas" papildināt ar noteikumu projekta 16.punktā norādītajiem sadarbības partneriem - Latvijas Antidopinga biroju un Zāļu valsts aģentūru.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noteikumu projektu ar jaunu punktu, par zaļo publisko iepirkumu, lai veicinātu Eiropas Zaļā kursa un klimata pārmaiņu mērķu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noteikuma projektu papildināt ar jaunu punktu par plānoto atbalsta veidu saskaņā ar vadošās iestādes vadlīniju projekta “Vadlīnijas Ministru kabineta noteikumu par specifiskā  atbalsta mērķa īstenošanu izstrādei Eiropas Savienības fondu 2021.—2027. gada plānošanas periodā” 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Specifiskā atbalsta projektu iesniegumu atlases īsteno ierobežotas projektu iesniegumu atlases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ņemot vērā, ka saskaņā ar MK noteikumu 22.punktu atlase tiek organizēta vienu reizi.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Pasākumam plānotais kopējais attiecināmais finansējums ir 13 185 480 </w:t>
            </w:r>
            <w:r w:rsidR="00000000" w:rsidRPr="00000000" w:rsidDel="00000000">
              <w:rPr>
                <w:i w:val="1"/>
                <w:rtl w:val="0"/>
              </w:rPr>
              <w:t xml:space="preserve">euro</w:t>
            </w:r>
            <w:r w:rsidR="00000000" w:rsidRPr="00000000" w:rsidDel="00000000">
              <w:rPr>
                <w:rtl w:val="0"/>
              </w:rPr>
              <w:t xml:space="preserve"> (tai skaitā elastības finansējuma apjoms 4 715 030 </w:t>
            </w:r>
            <w:r w:rsidR="00000000" w:rsidRPr="00000000" w:rsidDel="00000000">
              <w:rPr>
                <w:i w:val="1"/>
                <w:rtl w:val="0"/>
              </w:rPr>
              <w:t xml:space="preserve">euro</w:t>
            </w:r>
            <w:r w:rsidR="00000000" w:rsidRPr="00000000" w:rsidDel="00000000">
              <w:rPr>
                <w:rtl w:val="0"/>
              </w:rPr>
              <w:t xml:space="preserve">), tai skaitā Eiropas Sociālā fonda Plus finansējums – 11 207 658 </w:t>
            </w:r>
            <w:r w:rsidR="00000000" w:rsidRPr="00000000" w:rsidDel="00000000">
              <w:rPr>
                <w:i w:val="1"/>
                <w:rtl w:val="0"/>
              </w:rPr>
              <w:t xml:space="preserve">euro</w:t>
            </w:r>
            <w:r w:rsidR="00000000" w:rsidRPr="00000000" w:rsidDel="00000000">
              <w:rPr>
                <w:rtl w:val="0"/>
              </w:rPr>
              <w:t xml:space="preserve"> (tai skaitā elastības finansējuma apjoms 4 007 776 </w:t>
            </w:r>
            <w:r w:rsidR="00000000" w:rsidRPr="00000000" w:rsidDel="00000000">
              <w:rPr>
                <w:i w:val="1"/>
                <w:rtl w:val="0"/>
              </w:rPr>
              <w:t xml:space="preserve">euro</w:t>
            </w:r>
            <w:r w:rsidR="00000000" w:rsidRPr="00000000" w:rsidDel="00000000">
              <w:rPr>
                <w:rtl w:val="0"/>
              </w:rPr>
              <w:t xml:space="preserve">) un valsts budžeta līdzfinansējums – 1 977 822 </w:t>
            </w:r>
            <w:r w:rsidR="00000000" w:rsidRPr="00000000" w:rsidDel="00000000">
              <w:rPr>
                <w:i w:val="1"/>
                <w:rtl w:val="0"/>
              </w:rPr>
              <w:t xml:space="preserve">euro</w:t>
            </w:r>
            <w:r w:rsidR="00000000" w:rsidRPr="00000000" w:rsidDel="00000000">
              <w:rPr>
                <w:rtl w:val="0"/>
              </w:rPr>
              <w:t xml:space="preserve"> (tai skaitā elastības finansējuma apjoms 707 254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noteikumu projekta 10. un 11.punktā dzēst vārdu "attiecināmais" pirms vārda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šo noteikumu </w:t>
            </w:r>
            <w:r w:rsidR="00000000" w:rsidRPr="00000000" w:rsidDel="00000000">
              <w:rPr>
                <w:rtl w:val="0"/>
              </w:rPr>
              <w:t xml:space="preserve">15.1.</w:t>
            </w:r>
            <w:r w:rsidR="00000000" w:rsidRPr="00000000" w:rsidDel="00000000">
              <w:rPr>
                <w:rtl w:val="0"/>
              </w:rPr>
              <w:t xml:space="preserve"> apakšpunktā minētais projekta iesniedzējs sadarbības partneru statusā deleģēto valsts pārvaldes funkciju ietvaros var piesaistīt veselības nozares valsts pārvaldes iestādes un valsts kapitālsabiedrības, kas izstrādā, organizē, uzrauga un ievieš valsts politiku sabiedrības veselības jomā - Slimību profilakses un kontroles centrs, Neatliekamās medicīniskās palīdzības dienests, Veselības inspekcija, VSIA “Bērnu klīniskā universitātes slimnīca”, Latvijas Antidopinga birojs un Zāļu valsts aģentūra.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projektā paredzēts arī sadarbības partneris, MK noteikumos norāda finansējuma saņēmēja un sadarbības partnera sadarbības pamatprincipus, pienākumus un tiesības, mērķu un rādītāju savstarpējo sasniegšanas dalījumu (ja attiecināms). Nepieciešams skaidri norādīt sadarbības partnera veicamās darbības un resursus, ar kādiem tas iesaistās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Finansējuma saņēmējs atbilstoši normatīvajiem aktiem par kārtību, kādā ES fondu vadībā iesaistītās institūcijas nodrošina šo fondu ieviešanu 2021. – 2027. gada plānošanas periodā slēdz sadarbības līgumus ar sadarbības partneriem, kontrolē to izpildi un novērš dubultā finansējuma riskus.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15. punktam ir divi projekta iesniedzēji, attiecīgi pēc projekta iesniegumu apstiprināšanas divi finansējuma saņēmēji, lūdzam precizēt vārdus “finansējuma saņēmējs” uz daudzskaitli.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Saskaņā ar Eiropas Parlamenta un Padomes 2021. gada 24. jūnija regulas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18. un 86. pantu pēc 2026. gada 1. janvāra atbildīgā iestāde var ierosināt palielināt šo noteikumu </w:t>
            </w:r>
            <w:r w:rsidR="00000000" w:rsidRPr="00000000" w:rsidDel="00000000">
              <w:rPr>
                <w:rtl w:val="0"/>
              </w:rPr>
              <w:t xml:space="preserve">15.1.</w:t>
            </w:r>
            <w:r w:rsidR="00000000" w:rsidRPr="00000000" w:rsidDel="00000000">
              <w:rPr>
                <w:rtl w:val="0"/>
              </w:rPr>
              <w:t xml:space="preserve"> apakšpunktā minētajam projekta iesniedzējam pieejamo kopējo attiecināmo finansējumu līdz šo noteikumu </w:t>
            </w:r>
            <w:r w:rsidR="00000000" w:rsidRPr="00000000" w:rsidDel="00000000">
              <w:rPr>
                <w:rtl w:val="0"/>
              </w:rPr>
              <w:t xml:space="preserve">19.1.</w:t>
            </w:r>
            <w:r w:rsidR="00000000" w:rsidRPr="00000000" w:rsidDel="00000000">
              <w:rPr>
                <w:rtl w:val="0"/>
              </w:rPr>
              <w:t xml:space="preserve"> apakšpunktā minētajam apmēram. Šādā gadījumā šo noteikumu </w:t>
            </w:r>
            <w:r w:rsidR="00000000" w:rsidRPr="00000000" w:rsidDel="00000000">
              <w:rPr>
                <w:rtl w:val="0"/>
              </w:rPr>
              <w:t xml:space="preserve">15.1.</w:t>
            </w:r>
            <w:r w:rsidR="00000000" w:rsidRPr="00000000" w:rsidDel="00000000">
              <w:rPr>
                <w:rtl w:val="0"/>
              </w:rPr>
              <w:t xml:space="preserve"> apakšpunktā minētais projekta iesniedzējs veic grozījumus vienošanās par projekta īstenošanu, paredzot kopējā attiecināmā finansējuma palielinājumu par elastības finansējuma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vai anotācijā skaidrot to, vai projektā palielinot MK noteikumu 15.1. apakšpunktā minētajam projekta iesniedzējam pieejamo kopējo attiecināmo finansējumu līdz MK noteikumu 19.1. apakšpunktā minētajam apmēram, finansējuma saņēmējam tiks izvirzīti papildu nosacījumi, piemēram, projektā ir jāparedz papildu darbību īstenošana vai esošo darbību rezultātu kvantitatīvi izmērams pieaugums, vai uzraudzības rādītāju skaitliskais pieaugums.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izmaksas par sabiedrības informēšanas pasākumiem attiecībā uz slimību profilaksi.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26.1.punkts jau iekļauj arī 26.4.punktā atrunāto – informēšanas pasākumus par slimību profilaksi, lūdzam izvērtēt, vai 26.4.punktā atrunātā izmaksu pozīcija nebūtu dzēšama. Ja punkts tiek dzēsts, atbilstoši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w:t>
            </w:r>
            <w:r w:rsidR="00000000" w:rsidRPr="00000000" w:rsidDel="00000000">
              <w:rPr>
                <w:rtl w:val="0"/>
              </w:rPr>
              <w:t xml:space="preserve">24.6.</w:t>
            </w:r>
            <w:r w:rsidR="00000000" w:rsidRPr="00000000" w:rsidDel="00000000">
              <w:rPr>
                <w:rtl w:val="0"/>
              </w:rPr>
              <w:t xml:space="preserve"> apakšpunktā minētās atbalstāmās darbības ietvaros ir attiecināmas informācijas un publicitātes nodrošināšanas izmaksas atbilstoši regulā Nr. 2021/1060 47. un 50. pantā noteiktajām prasībām, kā arī atbilstoši normatīvajiem aktiem par ES fondu ieviešanu 2021.–2027.gada plānošanas periodā, kā arī ievēro saistītās komunikācijas un dizaina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komunikācijas un vizuālās identitātes prasību nodrošināšanas izmaksas atbilstoši Regulas 2021/1060 47. pantam un 50. pantam un normatīvajiem aktiem, kas nosaka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Pievienotās vērtības nodokļa maksājumi, kas tiešā veidā saistīti ar projektu, ir attiecināmās izmaksas, ja finansējuma saņēmējs tos nevar atgūt normatīvajos aktos par pievienotās vērtības nodokli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punktu papildinot to ar atsauci uz Regulas 2021/1060 64. panta 1. punkta “c” apakšpunktu atbilstoši FM vadlīniju nr. 1.4. "Vadlīnijas Ministru kabineta noteikumu par specifiskā atbalsta mērķa īstenošanu izstrādei Eiropas Savienības fondu 2021.—2027. gada plānošanas periodā" 21. punkta "e" 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Pasākuma ietvaros finansējuma saņēmējs izveido projekta vadības un uzraudzības darba grupu, kuras sastāvā pieaicina sadarbības partneru pārstāvjus, atbildīgās iestādes un sadarbības iestādes pārstāvi novērotāja statusā, un  kuras sanāksmes tiek organizētas pēc nepieciešamības, bet ne retāk kā reizi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prasība par projekta vadības un uzraudzības darba grupas izveidošanu ir attiecināma arī uz MK noteikumu 15.2.apakšpunktā noteikto projekta iesniedzēju un, ja nepieciešams, tad atbilstoši precizēt MK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nodrošina, ka iepirkumi, kas nepieciešami atbalstāmo darbību īstenošanai, tiek veikti kā sociāli atbildīgi iepirkumi un atbilstoši ES un Latvijas Republikas iepirkumu regulējošos normatīvajos aktos noteiktajai kārtībai, īstenojot atklātu, pārredzamu, nediskriminējošu un konkurenci nodrošinošu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apvienot MK noteikumu 37.punktā un 31.2.apakšpunktā iekļauto informāciju, ņemot vērā, ka tā daļēji dublējas.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Pasākuma ietvaros projektu īsteno saskaņā ar vienošanos par projekta īstenošanu, kas noslēgts starp finansējuma saņēmēju un sadarbības iestādi,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SAMP ietvaros tiek plānoti 2 projekti, lūdzam izvērtēt, vai šeit un tālāk tekstā vārds “projekts” nebūtu lietojams daudzskaitļa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daļa anotācijā iekļautā teksta atkārto MK noteikuma projekta tekstu, lūdzam precizēt arī anotāciju atbilstoši MK noteikumos veiktajiem precizējumiem.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6.sadaļu, tostarp "Nevalstiskās organizācijas". Lūdzam papildināt anotāciju ar informāciju par biedrību un nodibinājumu iesaisti, nevalstisko organizāciju iesaisti MK noteikumu projekta izstrādē, lai nodrošinātu atbilstību Ministru prezidenta rezolūcijā*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Ministru prezidenta 2021. gada 7. septembra rezolūciju Nr. 2021-1.1.1./50-50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 (Edijs Kirsanovs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23-TA-1568</w:t>
    </w:r>
    <w:r>
      <w:br/>
    </w:r>
    <w:r w:rsidR="00000000" w:rsidRPr="00000000" w:rsidDel="00000000">
      <w:rPr>
        <w:rtl w:val="0"/>
      </w:rPr>
      <w:t xml:space="preserve">Izdrukāts 19.07.2023.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23-TA-1568</w:t>
    </w:r>
    <w:r>
      <w:br/>
    </w:r>
    <w:r w:rsidR="00000000" w:rsidRPr="00000000" w:rsidDel="00000000">
      <w:rPr>
        <w:rtl w:val="0"/>
      </w:rPr>
      <w:t xml:space="preserve">Izdrukāts 19.07.2023.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Atzinumi_23-TA-1568.docx</dc:title>
</cp:coreProperties>
</file>

<file path=docProps/custom.xml><?xml version="1.0" encoding="utf-8"?>
<Properties xmlns="http://schemas.openxmlformats.org/officeDocument/2006/custom-properties" xmlns:vt="http://schemas.openxmlformats.org/officeDocument/2006/docPropsVTypes"/>
</file>