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konkursa komisijas sastāvu, svītrojot no tā Labklājības ministriju. Vēršam uzmanību, ka Labklājības ministrijas kompetence attiecas tikai uz daļu no 3. pielikuma 2. kritērija apakšpunktiem, savukārt šis kritērijs aptver arī citu institūciju – piemēram, Izglītības un zinātnes ministrijas, kā arī Viedās administrācijas un reģionālās attīstības ministrijas – atbildības jomas, taču tās nav pārstāvētas komisijā. Papildus aicinām turpmāk projekta darba grupā iesaistīt visas mērķgrupas jau agrīnā posmā, lai nodrošinātu savlaicīgu viedokļu apmaiņu un lēmumu pieņemšanas procesa netraucētu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nevalstiskajai organizācijai ir pieredze sadarbībā: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nevalstiskās organizācijas sadarbības pieredzes izvērtējums nebūtu papildināms arī ar sadarbību ar starptautiskajām institūcijām. Ja šādu sadarbības pieredzi pieteikumā iespējams norādīt informācijā par īstenotajiem projektiem (1. pielikuma 2.2. punkts), to nevar atspoguļot pieredzē ar citām institūcijām (1. pielikuma 2.4. punkts). Vienlaikus piedāvājam apsvērt, vai arī kritēriju vērtējuma punktu grācija nebūtu attiecīgi precizējama (2. pielikuma 3.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Fridrihsberga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08.08.2025.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08.08.2025.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