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nosaka, ka auditācijas pierakstus sistēmā glabā 24 mēnešus un izmanto </w:t>
            </w:r>
            <w:r w:rsidR="00000000" w:rsidRPr="00000000" w:rsidDel="00000000">
              <w:rPr>
                <w:u w:val="single"/>
                <w:rtl w:val="0"/>
              </w:rPr>
              <w:t xml:space="preserve">sistēmas uzturēšanai un Centra funkciju izpildei</w:t>
            </w:r>
            <w:r w:rsidR="00000000" w:rsidRPr="00000000" w:rsidDel="00000000">
              <w:rPr>
                <w:rtl w:val="0"/>
              </w:rPr>
              <w:t xml:space="preserve">. Vienlaikus anotācijas 8.1.3. apakšpunktā skaidrots, ka šāds termiņš ir noteikts, </w:t>
            </w:r>
            <w:r w:rsidR="00000000" w:rsidRPr="00000000" w:rsidDel="00000000">
              <w:rPr>
                <w:u w:val="single"/>
                <w:rtl w:val="0"/>
              </w:rPr>
              <w:t xml:space="preserve">lai nodrošinātu pierādījumus disciplinārlietās</w:t>
            </w:r>
            <w:r w:rsidR="00000000" w:rsidRPr="00000000" w:rsidDel="00000000">
              <w:rPr>
                <w:rtl w:val="0"/>
              </w:rPr>
              <w:t xml:space="preserve">. Proti, no anotācijas 8.1.3. apakšpunkta izriet, ka citiem mērķiem auditācijas pierakstu glabāšana norādīto laika periodu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jau sākotnējā saskaņošanā norādīja uz nepieciešamību, pirmkārt, noteikt precīzu glabāšanas termiņu, otrkārt, šo termiņu pamatot, salāgojot ar sākotnēji noteikto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akts ir precizēts, nosakot precīzu glabāšanas termiņu, un pret šādu regulējumu Datu valsts inspekcija neiebilst.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Vispārīgās datu aizsardzības regulas 5. panta 2. punktā noteikto pārskatatbildības principu, Centrs kā pārzinis ir atbildīgs par apstrādes atbilstību visiem šīs regulas 1. punktā noteiktajiem pamatprincipiem un to var uzskatāmi pierādīt. Ņemot vērā minēto, lai arī Inspekcija uzskata, ka anotācijā norādītais pamatojums nav pietiekams, jo iespējamās disciplinārlietas nav nolūks, kādam auditācijas pieraksti tiek izveidoti un glabāti, kā arī nav norādīts pamatojums, kādēļ šajā sistēmā ir saskatāmi paaugstināti pārkāpuma riski, un attiecīgi arī garāks auditācijas pierakstu glabāšanas termiņš, tā savu iebildumu neuztur, jo strīdus gadījumā tieši Centram būs pienākums pierādīt, ka termiņš ir izvēlēts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29.02.2024.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29.02.2024.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