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23-TA-2551: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4.1.1.1. pasākuma "Ārstniecības iestāžu infrastruktūras attīstība"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Eiropas Savienības fondu 2021.—2027. gada plānošanas perioda vadības likuma 19. panta 6. un 13.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izdošanas pamatā atsauci uz Eiropas Savienības fondu 2021.-2027. gada plānošanas perioda vadības likuma 19. panta 6. punktu, ņemot vērā, ka noteikumu projekts neparedz vienkāršoto izmaksu piemērošanas nosacījumus un kārtību. Papildus lūdzam atbilstoši precizēt noteikuma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Pasākums veicina 4.1.1.1. pasākuma “Ārstniecības iestāžu infrastruktūras attīstība” visu kārtu ietvaros kopējā iznākuma rādītāja "jaunu vai modernizētu veselības aprūpes iestāžu kapacitāte” sasniegšanu, nodrošinot, ka līdz 2029. gada 31. decembrim izveidotās vai uzlabotās veselības aprūpes iestādes vismaz vienu reizi gada laikā apmeklēs 3 719 657 iedzīvotāji.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noteikumu projekta 9. punktā rādītāja "jaunu vai modernizētu veselības aprūpes iestāžu kapacitāte” vērtību 4.1.1.1.pasākuma "Ārstniecības iestāžu infrastruktūras attīstība" (turpmāk - 4.1.1.1.pasākums) 3 687 497 iedzīvotāji, atbilstoši jaunākajam rādītāju sadalījumam, ko Veselības ministrija (turpmāk – VM) iesniedza Vadošajai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šajā noteikumu projekta punktā izdalīt 4.1.1.1.pasākuma 2.kārtai sasniedzamo vērtību, līdzīgi kā tas ir izdarīts pie 4.1.1.1.pasākuma 1.kārtas īstenošanas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arī precizēt anotācijas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 rezultāta rādītājs ir “personu skaits gadā, kuras izmanto jaunas vai modernizētas veselības aprūpes iestādes pakalpojumus”, nodrošinot, ka līdz 2029. gada 31. decembrim 1 187 622 personas gadā izmanto jaunas vai modernizētas veselības aprūpes iestādes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noteikumu projekta 10. punktā rezultāta rādītāja "Personu skaits, kas izmanto jaunas vai modernizētas veselības aprūpes iestādes pakalpojumus, gadā” vērtību 4.1.1.1.pasākuma 2.kārtai 1 189 368 personas, atbilstoši jaunākajam rādītāju sadalījumam, ko VM iesniedz Vadošajai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arī precizēt anotācijas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Par komercdarbības atbalsta piešķiršanas dienu ir uzskatāma diena, kad sadarbības iestāde sniedz atzinumu par projekta apstiprināšanu vai projekta apstiprināšanu ar nosacījumu.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19.punktu pēc būtības, ņemot vērā, ka  projektiem atbalstu piešķir dienā, kad sadarbības iestāde sniedz lēmumu par projekta apstiprināšanu vai sniedz atzinumu par nosacījumu izpildi, attiecīgi precizējot minēto informāciju arī MK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Akmentiņa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kas pēc sadarbības iestādes lēmuma par projekta iesnieguma apstiprināšanu kļūst par finansējuma saņēmēju, pasākuma ietvaros ir ārstniecības iestāde atbilstoši šo noteikumu </w:t>
            </w:r>
            <w:r w:rsidR="00000000" w:rsidRPr="00000000" w:rsidDel="00000000">
              <w:rPr>
                <w:rtl w:val="0"/>
              </w:rPr>
              <w:t xml:space="preserve">​</w:t>
            </w:r>
            <w:r w:rsidR="00000000" w:rsidRPr="00000000" w:rsidDel="00000000">
              <w:rPr>
                <w:rtl w:val="0"/>
              </w:rPr>
              <w:t xml:space="preserve">pielikumam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pielikumā minēto informāciju, ka diviem finansējuma saņēmējiem (Saldus medicīnas centrs, Priekules slimnīca) kopējās projekta izmaksas būs mazākas par 200 000 EUR un šajā pasākumā tiek piešķirts finansējuma saņēmējiem komercdarbības atbalsts, lūdzam papildināt anotāciju ar informāciju, ka šajā pasākumā neizpildās Eiropas Parlamenta un Padomes 2021. gada 24. jūnija Regulā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53.panta 2.punkta nosacījumi, kas paredz, ka projektos līdz 200 000 EUR (ieskaitot) visām izmaksām jābūt segtām, piemērojot vienkāršotās izmaksas, izņemot darbības, kurām atbalsts kvalificējams kā komercdarbības (izņemot de minimis)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Projekta izmaksas ir attiecināmas, ja tās atbilst šajos noteikumos minētajām izmaksu pozīcijām un ir radušās ne agrāk par 2021.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paredzēts attiecināt izmaksas, kas radušās pirms noteikumu projekta apstiprināšanas vai līgumu noslēgšanas brīža, tad norādām, ka nedrīkst attiecināt jau pabeigtas darbības (t.i., piemēram, būvdarbi nedrīkst būt nodoti ekspluatācijā). Attiecīgi lūdzam papildināt noteikumu projekta 38. punktu, kā arī lūdzam papildināt anotāciju ar skaidrojumu, kāpēc izmaksas ir attiecināmas pirms noteikumu projekta apstiprināšanas vai līgumu noslēgšanas brīža.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44.8. nodrošina, ka projekta īstenošanas laikā nekustamie īpašumi, kuri nepieciešami projekta īstenošanai, ir finansējuma saņēmēja, valsts vai pašvaldības īpašumā, ilgtermiņa nomā (vismaz 10 gadi), patapinājumā vai valdījumā un tiesību prasība ir nostiprināta zemesgrāmatā. Ja investīcijas ir veiktas ēkās un būvēs, nepalielinot apbūves laukumu, īpašumtiesībām vai citām tiesībām attiecībā uz zemi nav jābūt nostiprinātām zemesgrāmatā;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gadījumā, ja noteikumu projekts attiecināms uz infrastruktūru, tad noteikumu projektā iekļauj nosacījumu par </w:t>
            </w:r>
            <w:r w:rsidR="00000000" w:rsidRPr="00000000" w:rsidDel="00000000">
              <w:rPr>
                <w:u w:val="single"/>
                <w:rtl w:val="0"/>
              </w:rPr>
              <w:t xml:space="preserve">finansējuma saņēmēja</w:t>
            </w:r>
            <w:r w:rsidR="00000000" w:rsidRPr="00000000" w:rsidDel="00000000">
              <w:rPr>
                <w:rtl w:val="0"/>
              </w:rPr>
              <w:t xml:space="preserve"> tiesībām uz konkrēto objektu vai īpašumu, kurā plānots veikt ieguldījumus (īpašumā, ilgtermiņa nomā vai nodibinātas apbūves tiesības, bezatlīdzības lietošanā, valdījumā, turējumā u.c.). </w:t>
            </w:r>
            <w:r w:rsidR="00000000" w:rsidRPr="00000000" w:rsidDel="00000000">
              <w:rPr>
                <w:u w:val="single"/>
                <w:rtl w:val="0"/>
              </w:rPr>
              <w:t xml:space="preserve">Finansējuma saņēmēja</w:t>
            </w:r>
            <w:r w:rsidR="00000000" w:rsidRPr="00000000" w:rsidDel="00000000">
              <w:rPr>
                <w:rtl w:val="0"/>
              </w:rPr>
              <w:t xml:space="preserve"> tiesībām uz konkrēto objektu vai īpašumu jābūt nostiprinātām Zemesgrāmatā (ja šim nosacījumam saskaņā ar nacionālo regulējumu ir izņēmums, tas attiecīgi aprakstāms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noteikumu projekta 44.8.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44.10. izveido iekšējās kontroles sistēmu korupcijas un interešu konflikta riska novēršanai publiskas personas institūcijā atbilstoši normatīvajam regulējumam par iekšējās kontroles sistēmas pamatprasībām korupcijas un interešu konflikta riska novēršanai publiskas personas institūcijā.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ka finansējuma saņēmējs ir privāto tiesību juridiskā persona, nevis publiskas personas institūcija, attiecībā uz finansējuma saņēmēju nav piemērojami Ministru kabineta 2017. gada 17. oktobra noteikumi Nr. 630 "Noteikumi par iekšējās kontroles sistēmas pamatprasībām korupcijas un interešu konflikta riska novēršanai publiskas personas institūcijā". Lūdzam atbilstoši precizēt noteikumu projekta 44.10.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novērtējumu par plānoto ietekmi uz tautsaimniecību t.sk. norādot pēc iespējas izmērāmus faktiski sagaidāmos rezultātus/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plānā 2021.–2027.gadam noteiktajiem mērķiem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plānotais atbalsta veids ir grants (dotācija) ar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 punktā vārdus "ar nosacījumiem", jo noteikumu projekts tādus neparedz.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saņēmējs atbilstoši normatīvajiem aktiem par veselības aprūpes organizēšanu un samaksu ir noslēdzis ar Nacionālo veselības dienestu (turpmāk – pilnvarojuma uzlicējs) deleģēšanas līgumu par sabiedrisko pakalpojumu sniegšanu. Līgumā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atbalsta programmas ietvaros ir plānots sniegt atbalstu saskaņā ar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kā arī to, ka nacionāli ar jēdzienu "sabiedriskie pakalpojumi" tiek saprasti pakalpojumi, uz kuriem neattiecas vispārējas tautsaimnieciskas nozīmes pakalpojuma sniegšanas pienākums, aicinām 14. punktā aizstāt vārdus "par sabiedrisko pakalpojumu sniegšanu" ar vārdiem "par vispārējas tautsaimnieciskas nozīmes pakalpojuma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pārskatīt arī 14. punkta apakšpunktos lietoto terminoloģiju.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tiek pārkāptas šajos noteikumos noteiktās komercdarbības atbalsta piešķiršanas prasības vispārējas tautsaimnieciskas nozīmes pakalpojuma sniegšanai, finansējuma saņēmējam ir pienākums atmaksāt atbalsta sniedzējam visu projekta ietvaros saņemto nelikumīgo komercdarbības atbalstu kopā ar procentiem no līdzekļiem, kas ir brīvi no komercdarbības atbalsta, saskaņā ar Komercdarbības atbalsta kontroles likuma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nekorektas interpretācijas risku, kā arī mazinātu liekvārdību normā, lūdzam precizēt 16. punktu, dzēšot vārdu "visu".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komercdarbības atbalstu drīkst kumulēt ar citu komercdarbības atbalstu, ko piešķir par pakalpojuma ar vispārēju tautsaimniecisku nozīmi sniegšanu, citas atbalsta programmas vai individuālā atbalsta projekta ietvaros par vienām un tām pašām attiecināmajām izmaksām, ja pēc atbalstu apvienošanas atbalsta vienībai vai izmaksu pozīcijai attiecīgā maksimālā atbalsta intensitāte nepārsniedz 100 procentus.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kumulācijas prasību ievērošanu, aicinām precizēt 18.punktu, papildinot ar vārdiem "tai skaitā"  pirms vārdiem "par vienām un tām pašām".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Prasības projekta iesniedzējam un projekta 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V nodaļas nosaukumu un svītrot noteikumu projekta 25. punktu, jo </w:t>
            </w:r>
            <w:r w:rsidR="00000000" w:rsidRPr="00000000" w:rsidDel="00000000">
              <w:rPr>
                <w:u w:val="single"/>
                <w:rtl w:val="0"/>
              </w:rPr>
              <w:t xml:space="preserve">projekta vērtēšanas prasības</w:t>
            </w:r>
            <w:r w:rsidR="00000000" w:rsidRPr="00000000" w:rsidDel="00000000">
              <w:rPr>
                <w:rtl w:val="0"/>
              </w:rPr>
              <w:t xml:space="preserve"> izriet no horizontālā normatīvā regulējuma, tostarp Ministru kabineta 2023. gada 13. jūlija noteikumiem Nr. 408 "Kārtība, kādā Eiropas Savienības fondu vadībā iesaistītās institūcijas nodrošina šo fondu ieviešanu 2021.-2027. gada plānošanas periodā" (turpmāk – MK noteikumi Nr. 408), kā arī projekta atlases nolikuma.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sagatavo projekta iesniegumu atbilstoši projektu iesniegumu atlases nolikumā noteiktajām prasībām un iesniedz to sadarbības iestādē, izmantojot Kohēzijas politikas fondu vadības informācijas sistēmu, tai skaitā ar parakstu apliecina projekta iesniedzēja un sadarbības partnera (ja attiecināms) interešu konflikta neesību atbilstoši Eiropas Parlamenta un Padomes 2018. gada 18. jūlija regulas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23. punktu piedāvātajā redakcijā. Skaidrojam, ka nepieciešams noteikt, ka </w:t>
            </w:r>
            <w:r w:rsidR="00000000" w:rsidRPr="00000000" w:rsidDel="00000000">
              <w:rPr>
                <w:u w:val="single"/>
                <w:rtl w:val="0"/>
              </w:rPr>
              <w:t xml:space="preserve">projekta iesniedzējs paraksta interešu konflikta neesamības apliecinājumu</w:t>
            </w:r>
            <w:r w:rsidR="00000000" w:rsidRPr="00000000" w:rsidDel="00000000">
              <w:rPr>
                <w:rtl w:val="0"/>
              </w:rPr>
              <w:t xml:space="preserve">, lai nodrošinātu skaidru normas interpretāciju par noteikto pienākumu. Papildus vēršam uzmanību, ka </w:t>
            </w:r>
            <w:r w:rsidR="00000000" w:rsidRPr="00000000" w:rsidDel="00000000">
              <w:rPr>
                <w:rtl w:val="0"/>
              </w:rPr>
              <w:t xml:space="preserve">noteikumu projekts neparedz sadarbības partneru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ņemot vērā, ka finansējuma saņēmējs ir privāto tiesību juridiskā persona, rosinām precizēt norādi uz finansējuma saņēmēja pienākumu parakstīt interešu konflikta neesamības apliecinājumu </w:t>
            </w:r>
            <w:r w:rsidR="00000000" w:rsidRPr="00000000" w:rsidDel="00000000">
              <w:rPr>
                <w:u w:val="single"/>
                <w:rtl w:val="0"/>
              </w:rPr>
              <w:t xml:space="preserve">atbilstoši</w:t>
            </w:r>
            <w:r w:rsidR="00000000" w:rsidRPr="00000000" w:rsidDel="00000000">
              <w:rPr>
                <w:rtl w:val="0"/>
              </w:rPr>
              <w:t xml:space="preserve">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w:t>
            </w:r>
            <w:r w:rsidR="00000000" w:rsidRPr="00000000" w:rsidDel="00000000">
              <w:rPr>
                <w:u w:val="single"/>
                <w:rtl w:val="0"/>
              </w:rPr>
              <w:t xml:space="preserve">61. pantam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sagatavo projekta iesniegumu atbilstoši projektu iesniegumu atlases nolikumā noteiktajām prasībām un iesniedz to sadarbības iestādē, izmantojot Kohēzijas politikas fondu vadības informācijas sistēmu, tai skaitā paraksta interešu konflikta neesamības apliecinājumu, ievērojot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pantā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projekta vadības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27.1. apakšpunktu šādā redakcijā: "projekta vadības un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27.1. </w:t>
            </w:r>
            <w:r w:rsidR="00000000" w:rsidRPr="00000000" w:rsidDel="00000000">
              <w:rPr>
                <w:rtl w:val="0"/>
              </w:rPr>
              <w:t xml:space="preserve">apakšpunktā</w:t>
            </w:r>
            <w:r w:rsidR="00000000" w:rsidRPr="00000000" w:rsidDel="00000000">
              <w:rPr>
                <w:rtl w:val="0"/>
              </w:rPr>
              <w:t xml:space="preserve"> minētās atbalstāmās darbības ietvaros ir attiecināmas finansējuma saņēmēja projekta vadības personāla atlīdzības izmaksas, kas radušās uz darba līguma vai uzņēmuma līguma pamata, tai skaitā normatīvajos aktos noteiktās piemaksas un nodokļi, šādā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ar regulā Nr. 2021/1060 lietoto terminoloģiju, vārdus "personāla atlīdzības izmaksām" lūdzam aizstāt ar vārdiem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projekta tekstā un arī anotācijā šo precizēt, kur tas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būvniecības ieceres dokumentācijas un arhitektoniski mākslinieciskās izpētes izstrādes izmaksas, funkcionālā plānojuma un tehniskās specifikācijas izstrādes izmaksas, būvprojekta minimālā sastāvā un būvprojekta izstrādes izmaksas, projekta ekspertīžu izmaksas, autoruzraudzības un būvuzraudzības izmaksas un būvniecības jomu regulējošos normatīvajos aktos noteiktās attiecīgo būvspeciālistu obligātās apdrošināšanas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MK noteikumu 30.1.apakšpunktu ar informāciju par vides piekļūstamības ekspertu konsultāciju nodrošināšanu, ņemot vērā, ka horizontālā principa ”Vienlīdzība, iekļaušana, nediskriminācija un pamattiesību ievērošana”  īstenošanas ietvaros jāparedz  vismaz trīs specifiskās darbības,  kas izriet no pasākuma atbalstāmo darbību un projekta satura un kas īpaši veicina vides un informācijas piekļūstamību personām ar kustību, redzes, dzirdes vai garīga rakstura traucējumiem, vecāka gadagājuma cilvēkiem un vecākiem ar maziem bērniem, t.sk. var paredzēt HP darbību -  projekta ietvaros nodrošināt vides piekļūstamības ekspertu konsultācijas, tās paredzot projektēšanas un būvniecības procesā (attiecīgi pievienojot dokumentus, piem. konsultāciju protokolus u.c.). Saskaņot minēto informāciju MK noteikumu anotācijas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Visikovska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noteikumu </w:t>
            </w:r>
            <w:r w:rsidR="00000000" w:rsidRPr="00000000" w:rsidDel="00000000">
              <w:rPr>
                <w:rtl w:val="0"/>
              </w:rPr>
              <w:t xml:space="preserve">30.</w:t>
            </w:r>
            <w:r w:rsidR="00000000" w:rsidRPr="00000000" w:rsidDel="00000000">
              <w:rPr>
                <w:rtl w:val="0"/>
              </w:rPr>
              <w:t xml:space="preserve"> , </w:t>
            </w:r>
            <w:r w:rsidR="00000000" w:rsidRPr="00000000" w:rsidDel="00000000">
              <w:rPr>
                <w:rtl w:val="0"/>
              </w:rPr>
              <w:t xml:space="preserve">32.</w:t>
            </w:r>
            <w:r w:rsidR="00000000" w:rsidRPr="00000000" w:rsidDel="00000000">
              <w:rPr>
                <w:rtl w:val="0"/>
              </w:rPr>
              <w:t xml:space="preserve"> ​​​​​​​ un </w:t>
            </w:r>
            <w:r w:rsidR="00000000" w:rsidRPr="00000000" w:rsidDel="00000000">
              <w:rPr>
                <w:rtl w:val="0"/>
              </w:rPr>
              <w:t xml:space="preserve">34. </w:t>
            </w:r>
            <w:r w:rsidR="00000000" w:rsidRPr="00000000" w:rsidDel="00000000">
              <w:rPr>
                <w:rtl w:val="0"/>
              </w:rPr>
              <w:t xml:space="preserve">punktā</w:t>
            </w:r>
            <w:r w:rsidR="00000000" w:rsidRPr="00000000" w:rsidDel="00000000">
              <w:rPr>
                <w:rtl w:val="0"/>
              </w:rPr>
              <w:t xml:space="preserve"> ​​​​​​​ minētās izmaksas veido projekta pārējās tiešās attiecināmās izmaksas. Šīs piegāžu un pakalpojumu izmaksas ir attiecināmas, ja tās radušās, ievērojot publisko iepirkumu jomu regulējošos normatīvos aktus, izņemot šo noteikumu </w:t>
            </w:r>
            <w:r w:rsidR="00000000" w:rsidRPr="00000000" w:rsidDel="00000000">
              <w:rPr>
                <w:rtl w:val="0"/>
              </w:rPr>
              <w:t xml:space="preserve">30.1. </w:t>
            </w:r>
            <w:r w:rsidR="00000000" w:rsidRPr="00000000" w:rsidDel="00000000">
              <w:rPr>
                <w:rtl w:val="0"/>
              </w:rPr>
              <w:t xml:space="preserve">apakšpunktā</w:t>
            </w:r>
            <w:r w:rsidR="00000000" w:rsidRPr="00000000" w:rsidDel="00000000">
              <w:rPr>
                <w:rtl w:val="0"/>
              </w:rPr>
              <w:t xml:space="preserve">  minētās būvuzraudzības izmaksas, kuras ir saistītas ar projekta vadības un īstenošanas atlīdzības izmaksām un var tikt attiecinātas arī kā projekta tiešās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precizēt/skaidrot kā noteikumu projekta 30.1. apakšpunktā minētās būvuzraudzības izmaksas ir saistītas ar projekta vadības un īstenošanas atlīdzības izmaksām, ja projekta vadības un īstenošanas atlīdzības izmaksas ir uzskaitītas noteikumu projekta 29. punktā. Ja nepieciešams, lūdzam precizēt noteikumu projekta 30.1. apakšpunktu, vai iekļaut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Pievienotās vērtības nodokļa maksājumi, kas tiešā veidā saistīti ar projektu, ir attiecināmās izmaksas, ja finansējuma saņēmējs tos nevar atgūt atbilstoši normatīvajiem aktiem par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37.punktu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Pievienotās vērtības nodoklis, kas tiešā veidā saistīts ar projektu, uzskatāms par attiecināmām izmaksām saskaņā ar regulas Nr. 2021/1060 64. panta 1. punkta “c” apakšpunktā ietvertajiem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informāciju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Pievienotās vērtības nodoklis, kas tiešā veidā saistīts ar projektu, uzskatāms par attiecināmām izmaksām saskaņā ar regulas Nr. 2021/1060 64. panta 1. punkta “c” apakšpunktā ietvertajiem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 nodrošina šo noteikumu </w:t>
            </w:r>
            <w:r w:rsidR="00000000" w:rsidRPr="00000000" w:rsidDel="00000000">
              <w:rPr>
                <w:rtl w:val="0"/>
              </w:rPr>
              <w:t xml:space="preserve">27.4. </w:t>
            </w:r>
            <w:r w:rsidR="00000000" w:rsidRPr="00000000" w:rsidDel="00000000">
              <w:rPr>
                <w:rtl w:val="0"/>
              </w:rPr>
              <w:t xml:space="preserve">apakšpunktā</w:t>
            </w:r>
            <w:r w:rsidR="00000000" w:rsidRPr="00000000" w:rsidDel="00000000">
              <w:rPr>
                <w:rtl w:val="0"/>
              </w:rPr>
              <w:t xml:space="preserve"> minētos komunikācijas un vizuālās identitātes prasību nodrošināšanas pasākumus saskaņā ar Regulas Nr. 2021/1060 47. pantu un 50. pantu un normatīvajiem aktiem par kārtību, kādā Eiropas Savienības struktūrfondu un Kohēzijas fonda ieviešanā 2021. – 2027. gada plānošanas periodā nodrošināma komunikācijas un vizuālās identitātes prasību ievērošana, kā arī ievēro Eiropas Savienības fondu 2021.–2027. gada plānošanas perioda un Atveseļošanas fonda komunikācijas un dizaina vadlīnijas;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44.4. apakšpunktu pirms vārda "nodrošina" ar vārdiem "nodrošina dubultā finansējuma neiestāšanos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dubultā finansējuma neiestāšanās nodrošināma ne tikai attiecībā uz citiem finanšu instrumentiem, bet arī darbības konkrētam projektam piešķirtā finansējuma ietvaros nedrīkst tikt finansētas dubultā.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44.5. uzkrāj datus par faktiski sasniegtajiem šo noteikumu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 minētajiem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pēc nepieciešamības precizēt informāciju, izvērtējot vai projekta iesniedzējs uzkrāj datus par MK noteikumu projekta 10.punktā minēto rādītāju, vai arī projekta līmenī tiek uzkrāti dati tikai par MK noteikuma projekta 9.punktā noteikto rādītāju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Visikovska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 4.1.1.1.pasākuma 2. kārtas ietvaros īstenotie projekti un minētās atbalstāmās darbības veicinās  Eiropas Savienības stratēģijā Baltijas jūras reģionam (ESSBJR) noteikto mērķu sasniegšanu. Kā arī anotācijā jānorāda, ka investīcijām piemērojams Makroreģionālā un jūras baseinu stratēģija kods 03 - Baltijas jūras reģiona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anotācijas 1.3. sadaļā "Pašreizējā situācija, problēmas un risinājumi" pie demarkācijas ar citiem finanšu instrumentiem nevajadzētu labāk norādīt  Atveseļošanas un noturības mehānisma plāna 4.1.1.3.i. investīciju "Atbalsts sekundāro ambulatoro pakalpojumu sniedzēju veselības aprūpes infrastruktūras stiprināšanai, lai nodrošinātu visaptverošu ilgtspējīgu integrētu veselības pakalpojumu, mazinātu infekciju slimību izplatību, epidemioloģisko prasību nodrošināšanā", kur finansējuma saņēmēji ir ārstniecības iestādes, kuras būs finansējuma saņēmēji 4.1.1.1.pasākuma 2.kārtā.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sadaļas apakšsadaļā "Risinājuma apraksts" noteikto, ka sadarbības iestādei ir tiesības vienpusēji atkāpties no noslēgtā līguma par projekta īstenošanu gadījumos, kad finansējuma saņēmējs apzināti ir sniedzis sadarbības iestādei nepatiesu informāciju. Informējam, ka sadarbības iestādes tiesības vienpusēji atkāpties no līguma par projekta īstenošanu noteiktas MK noteikumu Nr. 408 35. punktā, un tajā šāds gadījums nav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1.3. sadaļas apakšsadaļā "Risinājuma apraksts" norādīto atsauci uz Eiropas Parlamenta un Padomes 2021.gada 12.februāra Regulu (ES) 2021/241, ar ko izveido Atveseļošanas un noturības mehānismu, ņemot vērā, ka tajā iekļauti nosacījumi par Atveseļošanas un noturības mehānisma, nevis Eiropas Savienības fondu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anotācijā rindkopu, kas norādīta piedāvātajā redakcijā, ar piebildi, ka paredzētais privātais finansējumu ir brīvs no komercdarbības atbalsta.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atbalsts piešķirams tikai infrastruktūras, kurā tiek nodrošināti valsts apmaksātie veselības aprūpes pakalpojumi, attīstībai, tādejādi finansējuma saņēmējam ir pienākums aprēķināt infrastruktūras izmantošanas atbalstāmo darbību proporciju valsts apmaksāto veselības aprūpes pakalpojumu sniegšanai un citu darbību veikšanai (turpmāk - infrastruktūras izmantošanas proporcija) un piemērot to projekta kopējam finansējumam, nosakot publiskā un privātā finansējuma apmēru. Proporcionāli infrastruktūras izmantošanai citiem mērķiem (maksas pakalpojumiem) paredzēts piesaistīt pašu privāto līdzfinansējumu, </w:t>
            </w:r>
            <w:r w:rsidR="00000000" w:rsidRPr="00000000" w:rsidDel="00000000">
              <w:rPr>
                <w:b w:val="1"/>
                <w:rtl w:val="0"/>
              </w:rPr>
              <w:t xml:space="preserve">kas ir brīvs no komercdarbības atbalsta,</w:t>
            </w:r>
            <w:r w:rsidR="00000000" w:rsidRPr="00000000" w:rsidDel="00000000">
              <w:rPr>
                <w:rtl w:val="0"/>
              </w:rPr>
              <w:t xml:space="preserve"> tādejādi nodrošinot godīgu konkurenci un neietekmējot tirgus dalībniekus, ar to, ka publiska nauda tiek dota ne tikai valsts apmaksātu (publisku) veselības aprūpes pakalpojumu sniegšanai, bet arī maksas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Akmentiņa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sadaļas apakšsadaļu "Juridiskās personas" ar norādi uz VM, savukārt atbilstošajā apakšsadaļā "Ietekmes apraksts" norādīt, ka ārstniecības iestādes pildīs finansējuma saņēmēju funkcijas, un VM pildīs atbildīgās iestādes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“Tiesību akta projekta ietekme uz valsts budžetu un pašvaldību budžetiem” punktā “Cita informācija” sniegto informāciju, ņemot vērā, ka no 74.resora “Gadskārtējā valsts budžeta izpildes procesā pārdalāmais finansējums” 80.00.00 programmas “Nesadalītais finansējums Eiropas Savienības politiku instrumentu un pārējās ārvalstu finanšu palīdzības līdzfinansēto projektu un pasākumu īstenošanai” 4.1.1.1. pasākuma "Ārstniecības iestāžu infrastruktūras attīstība" īstenošanai tiks pieprasīts arī Eiropas Reģionālās attīstības fonda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3.sadaļas “Tiesību akta projekta ietekme uz valsts budžetu un pašvaldību budžetiem” 6.punkta otrajā teikumā norādīt Finanšu ministrijas budžeta apakšprogrammu, kurā tiks plānots finansējums noteikumu projektā paredzētā 4.1.1.1. pasākuma "Ārstniecības iestāžu infrastruktūras attīstība"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aizpildīt anotācijas 3.sadaļas “Tiesību akta projekta ietekme uz valsts budžetu un pašvaldību budžetiem” (turpmāk - 3.sadaļa) 8.aili “izmaiņas, salīdzinot ar vidēja termiņa budžeta ietvaru, 2027” atbilstoši anotācijas 3.sadaļas 6.punktā sniegtajai informācijai. Vienlaikus nepieciešams aizpildīt anotācijas 3.sadaļas 5.1.apakšpunktu.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23-TA-2551</w:t>
    </w:r>
    <w:r>
      <w:br/>
    </w:r>
    <w:r w:rsidR="00000000" w:rsidRPr="00000000" w:rsidDel="00000000">
      <w:rPr>
        <w:rtl w:val="0"/>
      </w:rPr>
      <w:t xml:space="preserve">Izdrukāts 07.03.2024. 21.54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23-TA-2551</w:t>
    </w:r>
    <w:r>
      <w:br/>
    </w:r>
    <w:r w:rsidR="00000000" w:rsidRPr="00000000" w:rsidDel="00000000">
      <w:rPr>
        <w:rtl w:val="0"/>
      </w:rPr>
      <w:t xml:space="preserve">Izdrukāts 07.03.2024. 21.54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Atzinumi_23-TA-2551.docx</dc:title>
</cp:coreProperties>
</file>

<file path=docProps/custom.xml><?xml version="1.0" encoding="utf-8"?>
<Properties xmlns="http://schemas.openxmlformats.org/officeDocument/2006/custom-properties" xmlns:vt="http://schemas.openxmlformats.org/officeDocument/2006/docPropsVTypes"/>
</file>